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A05FA" w:rsidRPr="004C3F2B" w14:paraId="1C16EED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1F06F7" w14:textId="77777777" w:rsidR="00CF6D46" w:rsidRPr="004C3F2B" w:rsidRDefault="00000000">
            <w:pPr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C5B0D39" w14:textId="77777777" w:rsidR="00CF6D46" w:rsidRPr="004C3F2B" w:rsidRDefault="00000000">
            <w:pPr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</w:rPr>
              <w:t>50104</w:t>
            </w:r>
          </w:p>
        </w:tc>
      </w:tr>
      <w:tr w:rsidR="008A05FA" w:rsidRPr="004C3F2B" w14:paraId="5563010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6D6861A" w14:textId="77777777" w:rsidR="00CF6D46" w:rsidRPr="004C3F2B" w:rsidRDefault="00000000">
            <w:pPr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EE369E9" w14:textId="77777777" w:rsidR="00CF6D46" w:rsidRPr="004C3F2B" w:rsidRDefault="00000000">
            <w:pPr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</w:rPr>
              <w:t>REGIONALNA RAZVOJNA AGENCIJA PRIMORSKO - GORANSKE ŽUPANIJE</w:t>
            </w:r>
          </w:p>
        </w:tc>
      </w:tr>
      <w:tr w:rsidR="008A05FA" w:rsidRPr="004C3F2B" w14:paraId="14530AB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2AA31C" w14:textId="77777777" w:rsidR="00CF6D46" w:rsidRPr="004C3F2B" w:rsidRDefault="00000000">
            <w:pPr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8C04CE7" w14:textId="77777777" w:rsidR="00CF6D46" w:rsidRPr="004C3F2B" w:rsidRDefault="00000000">
            <w:pPr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</w:rPr>
              <w:t>21</w:t>
            </w:r>
          </w:p>
        </w:tc>
      </w:tr>
    </w:tbl>
    <w:p w14:paraId="50CDFACC" w14:textId="77777777" w:rsidR="00CF6D46" w:rsidRPr="004C3F2B" w:rsidRDefault="00000000">
      <w:pPr>
        <w:rPr>
          <w:rFonts w:cs="Times New Roman"/>
        </w:rPr>
      </w:pPr>
      <w:r w:rsidRPr="004C3F2B">
        <w:rPr>
          <w:rFonts w:cs="Times New Roman"/>
        </w:rPr>
        <w:br/>
      </w:r>
    </w:p>
    <w:p w14:paraId="091B3D6D" w14:textId="77777777" w:rsidR="00CF6D46" w:rsidRPr="004C3F2B" w:rsidRDefault="00000000">
      <w:pPr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b/>
          <w:sz w:val="28"/>
        </w:rPr>
        <w:t>BILJEŠKE UZ FINANCIJSKE IZVJEŠTAJE</w:t>
      </w:r>
    </w:p>
    <w:p w14:paraId="751045DA" w14:textId="77777777" w:rsidR="00CF6D46" w:rsidRPr="004C3F2B" w:rsidRDefault="00000000">
      <w:pPr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b/>
          <w:sz w:val="28"/>
        </w:rPr>
        <w:t>ZA RAZDOBLJE</w:t>
      </w:r>
    </w:p>
    <w:p w14:paraId="0C54B270" w14:textId="5334D3B9" w:rsidR="00CF6D46" w:rsidRPr="004C3F2B" w:rsidRDefault="00000000">
      <w:pPr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b/>
          <w:sz w:val="28"/>
        </w:rPr>
        <w:t>I - X</w:t>
      </w:r>
      <w:r w:rsidR="00FA5FFA" w:rsidRPr="004C3F2B">
        <w:rPr>
          <w:rFonts w:cs="Times New Roman"/>
          <w:b/>
          <w:sz w:val="28"/>
        </w:rPr>
        <w:t>II</w:t>
      </w:r>
      <w:r w:rsidRPr="004C3F2B">
        <w:rPr>
          <w:rFonts w:cs="Times New Roman"/>
          <w:b/>
          <w:sz w:val="28"/>
        </w:rPr>
        <w:t xml:space="preserve"> 2025.</w:t>
      </w:r>
    </w:p>
    <w:p w14:paraId="284E1814" w14:textId="77777777" w:rsidR="00CF6D46" w:rsidRPr="004C3F2B" w:rsidRDefault="00CF6D46">
      <w:pPr>
        <w:rPr>
          <w:rFonts w:cs="Times New Roman"/>
        </w:rPr>
      </w:pPr>
    </w:p>
    <w:p w14:paraId="56FE833E" w14:textId="77777777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b/>
          <w:sz w:val="28"/>
        </w:rPr>
        <w:t>Izvještaj o prihodima i rashodima, primicima i izdacima</w:t>
      </w:r>
    </w:p>
    <w:p w14:paraId="7CFDC267" w14:textId="77777777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0C8CE2FE" w14:textId="77777777" w:rsidTr="00FA5FF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7E44D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E339D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EFF7B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BC550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D474E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57E59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323EE302" w14:textId="77777777" w:rsidTr="00FA5FF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CE8C4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AA6D6A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4368D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D9E28" w14:textId="779D9432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1.104.627,42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495AB2" w14:textId="288BA9EA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828.814,79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9235F" w14:textId="1FC6D4A1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75,0</w:t>
            </w:r>
          </w:p>
        </w:tc>
      </w:tr>
      <w:tr w:rsidR="008A05FA" w:rsidRPr="004C3F2B" w14:paraId="2E280291" w14:textId="77777777" w:rsidTr="00FA5FF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781FE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62C4F1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A18F6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C4CD1" w14:textId="57A9F5E0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821.983,85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BB14A" w14:textId="799EDAB5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1.068.326,30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D22AB" w14:textId="578E5B3C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130,0</w:t>
            </w:r>
          </w:p>
        </w:tc>
      </w:tr>
      <w:tr w:rsidR="008A05FA" w:rsidRPr="004C3F2B" w14:paraId="29CB40C8" w14:textId="77777777" w:rsidTr="00FA5FF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745AC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38BEE2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FD76C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F7EC40" w14:textId="4600A5D5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F3EEC" w14:textId="29796492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239.511,51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DBE54" w14:textId="680A70BD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8A05FA" w:rsidRPr="004C3F2B" w14:paraId="3D6CFECB" w14:textId="77777777" w:rsidTr="00FA5FF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10F32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30E97F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AA28D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AC6FA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7030CD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CE2FE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-</w:t>
            </w:r>
          </w:p>
        </w:tc>
      </w:tr>
      <w:tr w:rsidR="008A05FA" w:rsidRPr="004C3F2B" w14:paraId="6A4D813E" w14:textId="77777777" w:rsidTr="00FA5FF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78764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91D269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1B9C6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809A2E" w14:textId="3F54D692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3.130,40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7817E" w14:textId="252A3417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5.210,25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FB41C" w14:textId="7D5EA4E0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166,4</w:t>
            </w:r>
          </w:p>
        </w:tc>
      </w:tr>
      <w:tr w:rsidR="008A05FA" w:rsidRPr="004C3F2B" w14:paraId="6470A6F7" w14:textId="77777777" w:rsidTr="00FA5FF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41704" w14:textId="77777777" w:rsidR="00E37B7F" w:rsidRPr="004C3F2B" w:rsidRDefault="00E37B7F" w:rsidP="00E37B7F">
            <w:pPr>
              <w:keepNext/>
              <w:keepLine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D3D915" w14:textId="77777777" w:rsidR="00E37B7F" w:rsidRPr="004C3F2B" w:rsidRDefault="00E37B7F" w:rsidP="00E37B7F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BD24B" w14:textId="77777777" w:rsidR="00E37B7F" w:rsidRPr="004C3F2B" w:rsidRDefault="00E37B7F" w:rsidP="00E37B7F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F7504" w14:textId="0E8D9761" w:rsidR="00E37B7F" w:rsidRPr="004C3F2B" w:rsidRDefault="00E37B7F" w:rsidP="00E37B7F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3.130,40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8F844" w14:textId="1C372931" w:rsidR="00E37B7F" w:rsidRPr="004C3F2B" w:rsidRDefault="00E37B7F" w:rsidP="00E37B7F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5.210,25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990C11" w14:textId="645BD108" w:rsidR="00E37B7F" w:rsidRPr="004C3F2B" w:rsidRDefault="00E37B7F" w:rsidP="00E37B7F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166,4</w:t>
            </w:r>
          </w:p>
        </w:tc>
      </w:tr>
      <w:tr w:rsidR="008A05FA" w:rsidRPr="004C3F2B" w14:paraId="2FF47A7F" w14:textId="77777777" w:rsidTr="00FA5FF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233D0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4A837C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30C7B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29BC1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E297B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A42E2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-</w:t>
            </w:r>
          </w:p>
        </w:tc>
      </w:tr>
      <w:tr w:rsidR="008A05FA" w:rsidRPr="004C3F2B" w14:paraId="641C4A14" w14:textId="77777777" w:rsidTr="00FA5FF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C1BEC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981901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42742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2FE65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6465A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5C67B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-</w:t>
            </w:r>
          </w:p>
        </w:tc>
      </w:tr>
      <w:tr w:rsidR="008A05FA" w:rsidRPr="004C3F2B" w14:paraId="085B9D89" w14:textId="77777777" w:rsidTr="00FA5FF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2C299" w14:textId="77777777" w:rsidR="00CF6D46" w:rsidRPr="004C3F2B" w:rsidRDefault="00CF6D46">
            <w:pPr>
              <w:keepNext/>
              <w:keepLine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003F8B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2C123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84F7B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DED83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D8D89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-</w:t>
            </w:r>
          </w:p>
        </w:tc>
      </w:tr>
      <w:tr w:rsidR="008A05FA" w:rsidRPr="004C3F2B" w14:paraId="078D5835" w14:textId="77777777" w:rsidTr="00FA5FF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73F4D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43F18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5588E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31B73" w14:textId="6DB95194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50D8C8" w14:textId="15E96E5C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244.721,76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92781" w14:textId="02290B66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14:paraId="547DA2A6" w14:textId="77777777" w:rsidR="00CF6D46" w:rsidRPr="004C3F2B" w:rsidRDefault="00CF6D46">
      <w:pPr>
        <w:spacing w:after="0"/>
        <w:rPr>
          <w:rFonts w:cs="Times New Roman"/>
        </w:rPr>
      </w:pPr>
    </w:p>
    <w:p w14:paraId="72D59963" w14:textId="571C8A5F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U izvještajnom razdoblju od 01.01. do </w:t>
      </w:r>
      <w:r w:rsidR="00E37B7F" w:rsidRPr="004C3F2B">
        <w:rPr>
          <w:rFonts w:cs="Times New Roman"/>
        </w:rPr>
        <w:t>31</w:t>
      </w:r>
      <w:r w:rsidRPr="004C3F2B">
        <w:rPr>
          <w:rFonts w:cs="Times New Roman"/>
        </w:rPr>
        <w:t>.</w:t>
      </w:r>
      <w:r w:rsidR="00E37B7F" w:rsidRPr="004C3F2B">
        <w:rPr>
          <w:rFonts w:cs="Times New Roman"/>
        </w:rPr>
        <w:t>12</w:t>
      </w:r>
      <w:r w:rsidRPr="004C3F2B">
        <w:rPr>
          <w:rFonts w:cs="Times New Roman"/>
        </w:rPr>
        <w:t xml:space="preserve">.2025. ukupno je ostvareno </w:t>
      </w:r>
      <w:r w:rsidR="00E37B7F" w:rsidRPr="004C3F2B">
        <w:rPr>
          <w:rFonts w:cs="Times New Roman"/>
        </w:rPr>
        <w:t xml:space="preserve">828.814,79 </w:t>
      </w:r>
      <w:r w:rsidRPr="004C3F2B">
        <w:rPr>
          <w:rFonts w:cs="Times New Roman"/>
        </w:rPr>
        <w:t xml:space="preserve">eura prihoda od poslovanja što je </w:t>
      </w:r>
      <w:r w:rsidR="00E37B7F" w:rsidRPr="004C3F2B">
        <w:rPr>
          <w:rFonts w:cs="Times New Roman"/>
        </w:rPr>
        <w:t>25,0</w:t>
      </w:r>
      <w:r w:rsidRPr="004C3F2B">
        <w:rPr>
          <w:rFonts w:cs="Times New Roman"/>
        </w:rPr>
        <w:t xml:space="preserve">% manje nego što je ostvareno u izvještajnom razdoblju prethodne godine, dok je ostvareno </w:t>
      </w:r>
      <w:r w:rsidR="00E37B7F" w:rsidRPr="004C3F2B">
        <w:rPr>
          <w:rFonts w:cs="Times New Roman"/>
        </w:rPr>
        <w:t xml:space="preserve">1.068.326,30 </w:t>
      </w:r>
      <w:r w:rsidRPr="004C3F2B">
        <w:rPr>
          <w:rFonts w:cs="Times New Roman"/>
        </w:rPr>
        <w:t>eura ukupnih rashoda poslovanja, što predstavlja povećanje ostvarenja od 3</w:t>
      </w:r>
      <w:r w:rsidR="00E37B7F" w:rsidRPr="004C3F2B">
        <w:rPr>
          <w:rFonts w:cs="Times New Roman"/>
        </w:rPr>
        <w:t>0,0</w:t>
      </w:r>
      <w:r w:rsidRPr="004C3F2B">
        <w:rPr>
          <w:rFonts w:cs="Times New Roman"/>
        </w:rPr>
        <w:t>% u odnosu na</w:t>
      </w:r>
      <w:r w:rsidR="00E37B7F" w:rsidRPr="004C3F2B">
        <w:rPr>
          <w:rFonts w:cs="Times New Roman"/>
        </w:rPr>
        <w:t xml:space="preserve"> ostvarenje u izvještajnom razdoblju</w:t>
      </w:r>
      <w:r w:rsidRPr="004C3F2B">
        <w:rPr>
          <w:rFonts w:cs="Times New Roman"/>
        </w:rPr>
        <w:t xml:space="preserve"> prethodn</w:t>
      </w:r>
      <w:r w:rsidR="00E37B7F" w:rsidRPr="004C3F2B">
        <w:rPr>
          <w:rFonts w:cs="Times New Roman"/>
        </w:rPr>
        <w:t>e</w:t>
      </w:r>
      <w:r w:rsidRPr="004C3F2B">
        <w:rPr>
          <w:rFonts w:cs="Times New Roman"/>
        </w:rPr>
        <w:t xml:space="preserve"> godin</w:t>
      </w:r>
      <w:r w:rsidR="00E37B7F" w:rsidRPr="004C3F2B">
        <w:rPr>
          <w:rFonts w:cs="Times New Roman"/>
        </w:rPr>
        <w:t>e</w:t>
      </w:r>
      <w:r w:rsidRPr="004C3F2B">
        <w:rPr>
          <w:rFonts w:cs="Times New Roman"/>
        </w:rPr>
        <w:t xml:space="preserve">. Također, ukupni rashodi za nabavu nefinancijske imovine iznosili su </w:t>
      </w:r>
      <w:r w:rsidR="003A0666" w:rsidRPr="004C3F2B">
        <w:rPr>
          <w:rFonts w:cs="Times New Roman"/>
        </w:rPr>
        <w:t xml:space="preserve">5.210,25 </w:t>
      </w:r>
      <w:r w:rsidRPr="004C3F2B">
        <w:rPr>
          <w:rFonts w:cs="Times New Roman"/>
        </w:rPr>
        <w:t xml:space="preserve">eura. Na smanjenje prihoda poslovanja najvećim djelom je utjecalo smanjenje tekućih </w:t>
      </w:r>
      <w:r w:rsidRPr="004C3F2B">
        <w:rPr>
          <w:rFonts w:cs="Times New Roman"/>
        </w:rPr>
        <w:lastRenderedPageBreak/>
        <w:t>pomoći od institucija i tijela EU</w:t>
      </w:r>
      <w:r w:rsidR="00407BCA" w:rsidRPr="004C3F2B">
        <w:rPr>
          <w:rFonts w:cs="Times New Roman"/>
        </w:rPr>
        <w:t xml:space="preserve"> </w:t>
      </w:r>
      <w:r w:rsidR="00407BCA" w:rsidRPr="00B8355D">
        <w:rPr>
          <w:rFonts w:cs="Times New Roman"/>
        </w:rPr>
        <w:t>i inozemnih vlada</w:t>
      </w:r>
      <w:r w:rsidRPr="00B8355D">
        <w:rPr>
          <w:rFonts w:cs="Times New Roman"/>
        </w:rPr>
        <w:t>, tekućih pomoći proračunskim korisnicima iz proračuna koji im nije nadležan te tekućih pomoći temeljem prijenosa</w:t>
      </w:r>
      <w:r w:rsidRPr="004C3F2B">
        <w:rPr>
          <w:rFonts w:cs="Times New Roman"/>
        </w:rPr>
        <w:t xml:space="preserve"> EU sredstava, dok je na povećanje ukupnih rashoda poslovanja utjecao porast broja zaposlenih i povećanje plaća</w:t>
      </w:r>
      <w:r w:rsidR="003A0666" w:rsidRPr="004C3F2B">
        <w:rPr>
          <w:rFonts w:cs="Times New Roman"/>
        </w:rPr>
        <w:t>, ali i evidentiranje rashoda prema modificiranom obračunskom načelu prema novom Pravilniku o proračunskom računovodstvu i Računskom planu koji je stupio na snagu 01.01.2025. godine. Ostvarenje u izvještajnom razdoblju tekuće godine obuhvaća 13 rashoda jer uključuje i rashode iz prosinca 2025. godine, koji se prethodnih godina prenosio u narednu godinu, što je rezultiralo</w:t>
      </w:r>
      <w:r w:rsidRPr="004C3F2B">
        <w:rPr>
          <w:rFonts w:cs="Times New Roman"/>
        </w:rPr>
        <w:t xml:space="preserve"> ostvarenim manjkom prihoda i primitaka u visini </w:t>
      </w:r>
      <w:r w:rsidR="003A0666" w:rsidRPr="004C3F2B">
        <w:rPr>
          <w:rFonts w:cs="Times New Roman"/>
        </w:rPr>
        <w:t xml:space="preserve">244.721,76 </w:t>
      </w:r>
      <w:r w:rsidRPr="004C3F2B">
        <w:rPr>
          <w:rFonts w:cs="Times New Roman"/>
        </w:rPr>
        <w:t xml:space="preserve">eura. Nastali manjak rezultat je korištenja prenesenog viška prihoda poslovanja za pokriće dijela rashoda koji je iz prethodnog razdoblja prenesen u visini </w:t>
      </w:r>
      <w:r w:rsidR="003A0666" w:rsidRPr="004C3F2B">
        <w:rPr>
          <w:rFonts w:cs="Times New Roman"/>
        </w:rPr>
        <w:t xml:space="preserve">179.886,07 </w:t>
      </w:r>
      <w:r w:rsidRPr="004C3F2B">
        <w:rPr>
          <w:rFonts w:cs="Times New Roman"/>
        </w:rPr>
        <w:t>eura te je na kraju tekućeg izvještajnog razdoblja</w:t>
      </w:r>
      <w:r w:rsidR="003A0666" w:rsidRPr="004C3F2B">
        <w:rPr>
          <w:rFonts w:cs="Times New Roman"/>
        </w:rPr>
        <w:t xml:space="preserve"> manjak prihoda i primitaka </w:t>
      </w:r>
      <w:r w:rsidR="0028079B" w:rsidRPr="004C3F2B">
        <w:rPr>
          <w:rFonts w:cs="Times New Roman"/>
        </w:rPr>
        <w:t>za pokriće u sljedećem razdoblju 64.835,69 eura. Navedeni manjak odnosi se na metodološki manjak koji je nastao zbog evidentiranj</w:t>
      </w:r>
      <w:r w:rsidR="00DF19B9" w:rsidRPr="004C3F2B">
        <w:rPr>
          <w:rFonts w:cs="Times New Roman"/>
        </w:rPr>
        <w:t>a</w:t>
      </w:r>
      <w:r w:rsidR="0028079B" w:rsidRPr="004C3F2B">
        <w:rPr>
          <w:rFonts w:cs="Times New Roman"/>
        </w:rPr>
        <w:t xml:space="preserve"> rashoda prema modificiranom obračunskom načelu i biti će pokriven tijekom siječnja 2026. godine.</w:t>
      </w:r>
    </w:p>
    <w:p w14:paraId="076A5810" w14:textId="26F8BFA0" w:rsidR="00CF6D46" w:rsidRPr="004C3F2B" w:rsidRDefault="00CF6D46">
      <w:pPr>
        <w:rPr>
          <w:rFonts w:cs="Times New Roman"/>
        </w:rPr>
      </w:pPr>
    </w:p>
    <w:p w14:paraId="15C12346" w14:textId="77777777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14CE8C0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2F68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807BC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D92B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21AAD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6080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FFD8C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4E9E3E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E8371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657369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94DC5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97B7A" w14:textId="645AE9DB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1.104.627,42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02A301" w14:textId="02DCE655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828.814,79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4333B" w14:textId="2B25247E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75,0</w:t>
            </w:r>
          </w:p>
        </w:tc>
      </w:tr>
    </w:tbl>
    <w:p w14:paraId="27CD5C80" w14:textId="77777777" w:rsidR="00CF6D46" w:rsidRPr="004C3F2B" w:rsidRDefault="00CF6D46">
      <w:pPr>
        <w:spacing w:after="0"/>
        <w:rPr>
          <w:rFonts w:cs="Times New Roman"/>
        </w:rPr>
      </w:pPr>
    </w:p>
    <w:p w14:paraId="0C6254DF" w14:textId="323A0DE9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Prihodi poslovanja u tekućem izvještajnom razdoblju bilježe smanjenje od </w:t>
      </w:r>
      <w:r w:rsidR="00E37B7F" w:rsidRPr="004C3F2B">
        <w:rPr>
          <w:rFonts w:cs="Times New Roman"/>
        </w:rPr>
        <w:t>2</w:t>
      </w:r>
      <w:r w:rsidR="000520E0" w:rsidRPr="004C3F2B">
        <w:rPr>
          <w:rFonts w:cs="Times New Roman"/>
        </w:rPr>
        <w:t>5,0</w:t>
      </w:r>
      <w:r w:rsidRPr="004C3F2B">
        <w:rPr>
          <w:rFonts w:cs="Times New Roman"/>
        </w:rPr>
        <w:t xml:space="preserve">% jer je ostvareno znatno manje tekućih pomoći od institucija i tijela </w:t>
      </w:r>
      <w:r w:rsidRPr="00B8355D">
        <w:rPr>
          <w:rFonts w:cs="Times New Roman"/>
        </w:rPr>
        <w:t>EU</w:t>
      </w:r>
      <w:r w:rsidR="00AF1591" w:rsidRPr="00B8355D">
        <w:rPr>
          <w:rFonts w:cs="Times New Roman"/>
        </w:rPr>
        <w:t xml:space="preserve"> i inozemnih vlada</w:t>
      </w:r>
      <w:r w:rsidRPr="00B8355D">
        <w:rPr>
          <w:rFonts w:cs="Times New Roman"/>
        </w:rPr>
        <w:t>, tekućih</w:t>
      </w:r>
      <w:r w:rsidRPr="004C3F2B">
        <w:rPr>
          <w:rFonts w:cs="Times New Roman"/>
        </w:rPr>
        <w:t xml:space="preserve"> pomoći proračunskim korisnicima iz proračuna koji im nije nadležan te tekućih pomoći temeljem prijenosa EU sredstava s obzirom da </w:t>
      </w:r>
      <w:r w:rsidR="00D20869" w:rsidRPr="004C3F2B">
        <w:rPr>
          <w:rFonts w:cs="Times New Roman"/>
        </w:rPr>
        <w:t>se</w:t>
      </w:r>
      <w:r w:rsidRPr="004C3F2B">
        <w:rPr>
          <w:rFonts w:cs="Times New Roman"/>
        </w:rPr>
        <w:t xml:space="preserve"> za pokriće dijela rashoda poslovanja koristio preneseni višak prihoda poslovanja.</w:t>
      </w:r>
    </w:p>
    <w:p w14:paraId="2E7D7AE5" w14:textId="77777777" w:rsidR="004C3F2B" w:rsidRPr="004C3F2B" w:rsidRDefault="004C3F2B" w:rsidP="004C3F2B">
      <w:pPr>
        <w:keepNext/>
        <w:spacing w:line="240" w:lineRule="auto"/>
        <w:jc w:val="center"/>
        <w:rPr>
          <w:rFonts w:cs="Times New Roman"/>
        </w:rPr>
      </w:pPr>
      <w:r w:rsidRPr="00B8355D">
        <w:rPr>
          <w:rFonts w:cs="Times New Roman"/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C3F2B" w:rsidRPr="004C3F2B" w14:paraId="243A8BFC" w14:textId="77777777" w:rsidTr="0075060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064C2" w14:textId="77777777" w:rsidR="004C3F2B" w:rsidRPr="004C3F2B" w:rsidRDefault="004C3F2B" w:rsidP="00750607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6177B" w14:textId="77777777" w:rsidR="004C3F2B" w:rsidRPr="004C3F2B" w:rsidRDefault="004C3F2B" w:rsidP="00750607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F9B95" w14:textId="77777777" w:rsidR="004C3F2B" w:rsidRPr="004C3F2B" w:rsidRDefault="004C3F2B" w:rsidP="00750607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06B10" w14:textId="77777777" w:rsidR="004C3F2B" w:rsidRPr="004C3F2B" w:rsidRDefault="004C3F2B" w:rsidP="00750607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806AD" w14:textId="77777777" w:rsidR="004C3F2B" w:rsidRPr="004C3F2B" w:rsidRDefault="004C3F2B" w:rsidP="00750607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4E7BA" w14:textId="77777777" w:rsidR="004C3F2B" w:rsidRPr="004C3F2B" w:rsidRDefault="004C3F2B" w:rsidP="00750607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4C3F2B" w:rsidRPr="004C3F2B" w14:paraId="61A99353" w14:textId="77777777" w:rsidTr="0075060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90BF9" w14:textId="720367AA" w:rsidR="004C3F2B" w:rsidRPr="004C3F2B" w:rsidRDefault="004C3F2B" w:rsidP="004C3F2B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color w:val="000000"/>
                <w:sz w:val="18"/>
                <w:szCs w:val="18"/>
              </w:rPr>
              <w:t>6311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ED4FF5" w14:textId="0A7D354C" w:rsidR="004C3F2B" w:rsidRPr="004C3F2B" w:rsidRDefault="004C3F2B" w:rsidP="004C3F2B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Tekuće pomoći od inozemnih vlada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157A0" w14:textId="3CCCBF9F" w:rsidR="004C3F2B" w:rsidRPr="004C3F2B" w:rsidRDefault="004C3F2B" w:rsidP="004C3F2B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color w:val="0C0C0C"/>
                <w:sz w:val="18"/>
                <w:szCs w:val="18"/>
              </w:rPr>
              <w:t>6311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B64FF" w14:textId="51680FE1" w:rsidR="004C3F2B" w:rsidRPr="004C3F2B" w:rsidRDefault="004C3F2B" w:rsidP="004C3F2B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E7C9B" w14:textId="562ED2D9" w:rsidR="004C3F2B" w:rsidRPr="004C3F2B" w:rsidRDefault="004C3F2B" w:rsidP="004C3F2B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color w:val="000000"/>
                <w:sz w:val="16"/>
                <w:szCs w:val="16"/>
              </w:rPr>
              <w:t>24.037,75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F046D" w14:textId="1FE9E597" w:rsidR="004C3F2B" w:rsidRPr="004C3F2B" w:rsidRDefault="004C3F2B" w:rsidP="004C3F2B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4185CD2A" w14:textId="77777777" w:rsidR="004C3F2B" w:rsidRPr="004C3F2B" w:rsidRDefault="004C3F2B" w:rsidP="004C3F2B">
      <w:pPr>
        <w:spacing w:after="0"/>
        <w:rPr>
          <w:rFonts w:cs="Times New Roman"/>
        </w:rPr>
      </w:pPr>
    </w:p>
    <w:p w14:paraId="451CA152" w14:textId="03559C7E" w:rsidR="004C3F2B" w:rsidRPr="004C3F2B" w:rsidRDefault="004C3F2B" w:rsidP="004C3F2B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U izvještajnom razdoblju tekuće pomoći od inozemnih vlada ostvarene su po završnom izvješću projekta CAREER GARDEN i jednoj rati iz projekta BUSSINES GO VIRAL u ukupnom iznosu 24.037,75 eura. Zbog drugačijeg evidentiranja projekata EU, prihodi ostvareni iz ova dva projekta u izvještajnom razdoblju prethodne godine evidentirani su na podskupini 632 (Bilješka</w:t>
      </w:r>
      <w:r>
        <w:rPr>
          <w:rFonts w:cs="Times New Roman"/>
        </w:rPr>
        <w:t xml:space="preserve"> 4.</w:t>
      </w:r>
      <w:r w:rsidRPr="004C3F2B">
        <w:rPr>
          <w:rFonts w:cs="Times New Roman"/>
        </w:rPr>
        <w:t xml:space="preserve">). </w:t>
      </w:r>
    </w:p>
    <w:p w14:paraId="64E7DFB1" w14:textId="77777777" w:rsidR="004C3F2B" w:rsidRPr="004C3F2B" w:rsidRDefault="004C3F2B">
      <w:pPr>
        <w:spacing w:line="240" w:lineRule="auto"/>
        <w:jc w:val="both"/>
        <w:rPr>
          <w:rFonts w:cs="Times New Roman"/>
        </w:rPr>
      </w:pPr>
    </w:p>
    <w:p w14:paraId="335EB598" w14:textId="77777777" w:rsidR="00CF6D46" w:rsidRPr="004C3F2B" w:rsidRDefault="00CF6D46">
      <w:pPr>
        <w:rPr>
          <w:rFonts w:cs="Times New Roman"/>
        </w:rPr>
      </w:pPr>
    </w:p>
    <w:p w14:paraId="5369661A" w14:textId="4FFCBE71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B8355D">
        <w:rPr>
          <w:rFonts w:cs="Times New Roman"/>
          <w:sz w:val="28"/>
        </w:rPr>
        <w:lastRenderedPageBreak/>
        <w:t xml:space="preserve">Bilješka </w:t>
      </w:r>
      <w:r w:rsidR="004C3F2B" w:rsidRPr="00B8355D">
        <w:rPr>
          <w:rFonts w:cs="Times New Roman"/>
          <w:sz w:val="28"/>
        </w:rPr>
        <w:t>4</w:t>
      </w:r>
      <w:r w:rsidRPr="00B8355D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7AA6537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EE424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2F3B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DC8D9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ED3D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2DDD7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5540D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4C4093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D90F0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0E3FC0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06631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4D3D8A" w14:textId="1ED2F824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119.664,77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ECBDE" w14:textId="4A28FC85" w:rsidR="00FA5FFA" w:rsidRPr="004C3F2B" w:rsidRDefault="00407BC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003DA" w14:textId="5D4F61E6" w:rsidR="00FA5FFA" w:rsidRPr="004C3F2B" w:rsidRDefault="00407BC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0,0</w:t>
            </w:r>
          </w:p>
        </w:tc>
      </w:tr>
    </w:tbl>
    <w:p w14:paraId="64758509" w14:textId="77777777" w:rsidR="00CF6D46" w:rsidRPr="004C3F2B" w:rsidRDefault="00CF6D46">
      <w:pPr>
        <w:spacing w:after="0"/>
        <w:rPr>
          <w:rFonts w:cs="Times New Roman"/>
        </w:rPr>
      </w:pPr>
    </w:p>
    <w:p w14:paraId="0B7D9EDD" w14:textId="38C3E8E7" w:rsidR="00CF6D46" w:rsidRPr="004C3F2B" w:rsidRDefault="00407BCA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U odnosu na izvještajno razdoblje prethodne godine</w:t>
      </w:r>
      <w:r w:rsidR="0033769B" w:rsidRPr="004C3F2B">
        <w:rPr>
          <w:rFonts w:cs="Times New Roman"/>
        </w:rPr>
        <w:t xml:space="preserve"> </w:t>
      </w:r>
      <w:r w:rsidRPr="004C3F2B">
        <w:rPr>
          <w:rFonts w:cs="Times New Roman"/>
        </w:rPr>
        <w:t>nije ostvaren ovaj prihod</w:t>
      </w:r>
      <w:r w:rsidR="004C3F2B" w:rsidRPr="004C3F2B">
        <w:rPr>
          <w:rFonts w:cs="Times New Roman"/>
        </w:rPr>
        <w:t>,</w:t>
      </w:r>
      <w:r w:rsidRPr="004C3F2B">
        <w:rPr>
          <w:rFonts w:cs="Times New Roman"/>
        </w:rPr>
        <w:t xml:space="preserve"> </w:t>
      </w:r>
      <w:r w:rsidR="0033769B" w:rsidRPr="004C3F2B">
        <w:rPr>
          <w:rFonts w:cs="Times New Roman"/>
        </w:rPr>
        <w:t xml:space="preserve">jer </w:t>
      </w:r>
      <w:r w:rsidRPr="004C3F2B">
        <w:rPr>
          <w:rFonts w:cs="Times New Roman"/>
        </w:rPr>
        <w:t>on</w:t>
      </w:r>
      <w:r w:rsidR="0033769B" w:rsidRPr="004C3F2B">
        <w:rPr>
          <w:rFonts w:cs="Times New Roman"/>
        </w:rPr>
        <w:t xml:space="preserve"> ovisi o zadanoj dinamici priljeva EU sredstava po prijavljenim i odobrenim projektnim troškovima.</w:t>
      </w:r>
      <w:r w:rsidRPr="004C3F2B">
        <w:rPr>
          <w:rFonts w:cs="Times New Roman"/>
        </w:rPr>
        <w:t xml:space="preserve"> Isto tako, zbog drugačijeg evidentiranja projekata EU, dio prihoda koji je bio prikazan u ovoj podskupini sada se evidentira na podskupini </w:t>
      </w:r>
      <w:r w:rsidR="004C3F2B" w:rsidRPr="004C3F2B">
        <w:rPr>
          <w:rFonts w:cs="Times New Roman"/>
        </w:rPr>
        <w:t>631</w:t>
      </w:r>
      <w:r w:rsidRPr="004C3F2B">
        <w:rPr>
          <w:rFonts w:cs="Times New Roman"/>
        </w:rPr>
        <w:t>. Ti prihodi se odnose na projekte BUSINESS GO VIRAL i CAREER GARDEN</w:t>
      </w:r>
      <w:r w:rsidR="004C3F2B" w:rsidRPr="004C3F2B">
        <w:rPr>
          <w:rFonts w:cs="Times New Roman"/>
        </w:rPr>
        <w:t xml:space="preserve"> (Bilješka 3.)</w:t>
      </w:r>
      <w:r w:rsidRPr="004C3F2B">
        <w:rPr>
          <w:rFonts w:cs="Times New Roman"/>
        </w:rPr>
        <w:t xml:space="preserve">. </w:t>
      </w:r>
      <w:r w:rsidR="0033769B" w:rsidRPr="004C3F2B">
        <w:rPr>
          <w:rFonts w:cs="Times New Roman"/>
        </w:rPr>
        <w:t>U izvještajnom razdoblju prethodne godine ostvareni su prihodi od</w:t>
      </w:r>
      <w:r w:rsidRPr="004C3F2B">
        <w:rPr>
          <w:rFonts w:cs="Times New Roman"/>
        </w:rPr>
        <w:t xml:space="preserve"> pomoći po završetku projekta MIMOSA</w:t>
      </w:r>
      <w:r w:rsidR="0033769B" w:rsidRPr="004C3F2B">
        <w:rPr>
          <w:rFonts w:cs="Times New Roman"/>
        </w:rPr>
        <w:t>, BUSINESS GO VIRAL, CAREER GARDEN te je najveći prihod od 87.026,00 eura ostvaren od projekta INNO2MARE</w:t>
      </w:r>
      <w:r w:rsidRPr="004C3F2B">
        <w:rPr>
          <w:rFonts w:cs="Times New Roman"/>
        </w:rPr>
        <w:t>.</w:t>
      </w:r>
    </w:p>
    <w:p w14:paraId="6D4429AC" w14:textId="77777777" w:rsidR="00CF6D46" w:rsidRPr="004C3F2B" w:rsidRDefault="00CF6D46">
      <w:pPr>
        <w:rPr>
          <w:rFonts w:cs="Times New Roman"/>
        </w:rPr>
      </w:pPr>
    </w:p>
    <w:p w14:paraId="6AFF9DD3" w14:textId="4877B7D8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E07FF9">
        <w:rPr>
          <w:rFonts w:cs="Times New Roman"/>
          <w:sz w:val="28"/>
        </w:rPr>
        <w:t>5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190D86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688A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6841A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6D440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9905D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415F4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B0722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59862C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B61CA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E3613D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65FB8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2C14E" w14:textId="1333EFA4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56.926,46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E8E4C" w14:textId="3D297393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9.730,39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5FCF6" w14:textId="12ADEC46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17,1</w:t>
            </w:r>
          </w:p>
        </w:tc>
      </w:tr>
    </w:tbl>
    <w:p w14:paraId="0B748078" w14:textId="77777777" w:rsidR="00CF6D46" w:rsidRPr="004C3F2B" w:rsidRDefault="00CF6D46">
      <w:pPr>
        <w:spacing w:after="0"/>
        <w:rPr>
          <w:rFonts w:cs="Times New Roman"/>
        </w:rPr>
      </w:pPr>
    </w:p>
    <w:p w14:paraId="0F712F13" w14:textId="2A36D59F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Tekuće pomoći proračunskim korisnicima iz proračuna koji im nije nadležan u tekućem izvještajnom razdoblju odnose se na doznačena sredstava Ministarstva regionalnoga razvoja i fondova EU prema Sporazumu o financiranju rada otočnih koordinatora te bilježi smanjenje od 8</w:t>
      </w:r>
      <w:r w:rsidR="00007945" w:rsidRPr="004C3F2B">
        <w:rPr>
          <w:rFonts w:cs="Times New Roman"/>
        </w:rPr>
        <w:t>2</w:t>
      </w:r>
      <w:r w:rsidR="00476621" w:rsidRPr="004C3F2B">
        <w:rPr>
          <w:rFonts w:cs="Times New Roman"/>
        </w:rPr>
        <w:t>,9</w:t>
      </w:r>
      <w:r w:rsidRPr="004C3F2B">
        <w:rPr>
          <w:rFonts w:cs="Times New Roman"/>
        </w:rPr>
        <w:t>%. U istom izvještajnom razdoblju prethodne godine uz sredstva iz istog Sporazuma, Ministarstvo regionalnoga razvoja i fondova EU je doznačilo i sredstva iz Ugovora o dodjeli bespovratnih sredstava za sufinanciranje</w:t>
      </w:r>
      <w:r w:rsidR="00007945" w:rsidRPr="004C3F2B">
        <w:rPr>
          <w:rFonts w:cs="Times New Roman"/>
        </w:rPr>
        <w:t xml:space="preserve"> </w:t>
      </w:r>
      <w:r w:rsidRPr="004C3F2B">
        <w:rPr>
          <w:rFonts w:cs="Times New Roman"/>
        </w:rPr>
        <w:t xml:space="preserve">vlastitog učešća po projektu Jačanje razvojnih kapaciteta PGŽ u iznosu od 49.623,34 eura, zbog čega je </w:t>
      </w:r>
      <w:r w:rsidR="00476621" w:rsidRPr="004C3F2B">
        <w:rPr>
          <w:rFonts w:cs="Times New Roman"/>
        </w:rPr>
        <w:t>u tekućem razdoblju ostvareno</w:t>
      </w:r>
      <w:r w:rsidRPr="004C3F2B">
        <w:rPr>
          <w:rFonts w:cs="Times New Roman"/>
        </w:rPr>
        <w:t xml:space="preserve"> smanjenje ovih prihoda.</w:t>
      </w:r>
    </w:p>
    <w:p w14:paraId="04279737" w14:textId="77777777" w:rsidR="00CF6D46" w:rsidRPr="004C3F2B" w:rsidRDefault="00CF6D46">
      <w:pPr>
        <w:rPr>
          <w:rFonts w:cs="Times New Roman"/>
        </w:rPr>
      </w:pPr>
    </w:p>
    <w:p w14:paraId="7DE0CC01" w14:textId="029947BF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E07FF9">
        <w:rPr>
          <w:rFonts w:cs="Times New Roman"/>
          <w:sz w:val="28"/>
        </w:rPr>
        <w:t>6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419B008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F36F4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BFA64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1C0AB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94100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F97E1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28EB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0CB951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08F16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2E40D7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A7012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A0E98" w14:textId="3C92B262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394.514,78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ED5EF" w14:textId="317750FB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272.234,88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1E273" w14:textId="12839421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69,0</w:t>
            </w:r>
          </w:p>
        </w:tc>
      </w:tr>
    </w:tbl>
    <w:p w14:paraId="3C7AB77C" w14:textId="77777777" w:rsidR="00CF6D46" w:rsidRPr="004C3F2B" w:rsidRDefault="00CF6D46">
      <w:pPr>
        <w:spacing w:after="0"/>
        <w:rPr>
          <w:rFonts w:cs="Times New Roman"/>
        </w:rPr>
      </w:pPr>
    </w:p>
    <w:p w14:paraId="4ADDF666" w14:textId="634B0DC6" w:rsidR="00CF6D46" w:rsidRPr="004C3F2B" w:rsidRDefault="00000000">
      <w:pPr>
        <w:spacing w:line="240" w:lineRule="auto"/>
        <w:jc w:val="both"/>
        <w:rPr>
          <w:rFonts w:cs="Times New Roman"/>
          <w:strike/>
          <w:color w:val="EE0000"/>
        </w:rPr>
      </w:pPr>
      <w:r w:rsidRPr="004C3F2B">
        <w:rPr>
          <w:rFonts w:cs="Times New Roman"/>
        </w:rPr>
        <w:t>U tekućem izvještajnom razdoblju ostvareno je značajno manje tekućih pomoći temeljem prijenosa EU sredstava</w:t>
      </w:r>
      <w:r w:rsidR="009A14A8" w:rsidRPr="004C3F2B">
        <w:rPr>
          <w:rFonts w:cs="Times New Roman"/>
        </w:rPr>
        <w:t>,</w:t>
      </w:r>
      <w:r w:rsidR="00476621" w:rsidRPr="004C3F2B">
        <w:rPr>
          <w:rFonts w:cs="Times New Roman"/>
        </w:rPr>
        <w:t xml:space="preserve"> 31,0%,</w:t>
      </w:r>
      <w:r w:rsidRPr="004C3F2B">
        <w:rPr>
          <w:rFonts w:cs="Times New Roman"/>
        </w:rPr>
        <w:t xml:space="preserve"> jer ovise o ugovorenoj dinamici isplat</w:t>
      </w:r>
      <w:r w:rsidR="00476621" w:rsidRPr="004C3F2B">
        <w:rPr>
          <w:rFonts w:cs="Times New Roman"/>
        </w:rPr>
        <w:t>a pomoći</w:t>
      </w:r>
      <w:r w:rsidRPr="004C3F2B">
        <w:rPr>
          <w:rFonts w:cs="Times New Roman"/>
        </w:rPr>
        <w:t xml:space="preserve">. Pomoći se u prethodnom razdoblju odnose na isplatu sredstava po završnom izvješću za projekt Jačanje razvojnih kapaciteta PGŽ koji je završio 31. prosinca 2023. godine (136.608,05 eura) te na prvu </w:t>
      </w:r>
      <w:r w:rsidR="009A14A8" w:rsidRPr="004C3F2B">
        <w:rPr>
          <w:rFonts w:cs="Times New Roman"/>
        </w:rPr>
        <w:t xml:space="preserve">i drugu </w:t>
      </w:r>
      <w:r w:rsidRPr="004C3F2B">
        <w:rPr>
          <w:rFonts w:cs="Times New Roman"/>
        </w:rPr>
        <w:t xml:space="preserve">ratu prema Sporazum o dodjeli bespovratnih sredstava u provedbi aktivnosti jačanja kapaciteta na regionalnoj i lokalnoj razini za korištenje sredstava EU fondova </w:t>
      </w:r>
      <w:r w:rsidRPr="004C3F2B">
        <w:rPr>
          <w:rFonts w:cs="Times New Roman"/>
        </w:rPr>
        <w:lastRenderedPageBreak/>
        <w:t>(</w:t>
      </w:r>
      <w:r w:rsidR="00476621" w:rsidRPr="004C3F2B">
        <w:rPr>
          <w:rFonts w:cs="Times New Roman"/>
        </w:rPr>
        <w:t>257.906,73 eura</w:t>
      </w:r>
      <w:r w:rsidRPr="004C3F2B">
        <w:rPr>
          <w:rFonts w:cs="Times New Roman"/>
        </w:rPr>
        <w:t xml:space="preserve">), dok je u tekućoj godini ostvaren prihod treće </w:t>
      </w:r>
      <w:r w:rsidR="00476621" w:rsidRPr="004C3F2B">
        <w:rPr>
          <w:rFonts w:cs="Times New Roman"/>
        </w:rPr>
        <w:t xml:space="preserve">i četvrte </w:t>
      </w:r>
      <w:r w:rsidRPr="004C3F2B">
        <w:rPr>
          <w:rFonts w:cs="Times New Roman"/>
        </w:rPr>
        <w:t>rate prema Sporazumu</w:t>
      </w:r>
      <w:r w:rsidR="00476621" w:rsidRPr="004C3F2B">
        <w:rPr>
          <w:rFonts w:cs="Times New Roman"/>
        </w:rPr>
        <w:t xml:space="preserve"> (272.234,88 eura)</w:t>
      </w:r>
      <w:r w:rsidRPr="004C3F2B">
        <w:rPr>
          <w:rFonts w:cs="Times New Roman"/>
        </w:rPr>
        <w:t xml:space="preserve"> </w:t>
      </w:r>
      <w:r w:rsidR="009A14A8" w:rsidRPr="004C3F2B">
        <w:rPr>
          <w:rFonts w:cs="Times New Roman"/>
        </w:rPr>
        <w:t xml:space="preserve">koji je trajao do 31. prosinca 2025. godine. </w:t>
      </w:r>
    </w:p>
    <w:p w14:paraId="4042858A" w14:textId="77777777" w:rsidR="00CF6D46" w:rsidRPr="004C3F2B" w:rsidRDefault="00CF6D46">
      <w:pPr>
        <w:rPr>
          <w:rFonts w:cs="Times New Roman"/>
        </w:rPr>
      </w:pPr>
    </w:p>
    <w:p w14:paraId="5309DAD8" w14:textId="461DF01C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E07FF9">
        <w:rPr>
          <w:rFonts w:cs="Times New Roman"/>
          <w:sz w:val="28"/>
        </w:rPr>
        <w:t>7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65BE93C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D76E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714A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FD588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FA934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B3830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74C7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4B6BB9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82C02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FD2617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B0045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62E96" w14:textId="5581BD97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371,52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5E9F6" w14:textId="2BFA1967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81,67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D686C" w14:textId="78CF699D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22,0</w:t>
            </w:r>
          </w:p>
        </w:tc>
      </w:tr>
    </w:tbl>
    <w:p w14:paraId="7EC57FA9" w14:textId="77777777" w:rsidR="00CF6D46" w:rsidRPr="004C3F2B" w:rsidRDefault="00CF6D46">
      <w:pPr>
        <w:spacing w:after="0"/>
        <w:rPr>
          <w:rFonts w:cs="Times New Roman"/>
        </w:rPr>
      </w:pPr>
    </w:p>
    <w:p w14:paraId="79BF81AF" w14:textId="73BE594F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Kamate na depozite po viđenju bilježe značajno smanjenje, 7</w:t>
      </w:r>
      <w:r w:rsidR="00476621" w:rsidRPr="004C3F2B">
        <w:rPr>
          <w:rFonts w:cs="Times New Roman"/>
        </w:rPr>
        <w:t>8,0</w:t>
      </w:r>
      <w:r w:rsidRPr="004C3F2B">
        <w:rPr>
          <w:rFonts w:cs="Times New Roman"/>
        </w:rPr>
        <w:t>%, zbog procesa prelaska proračunskog korisnika na jedinstveni račun proračuna, što je dovelo do smanjenja stanja novčanih sredstava na vlastitom žiro računu i nižeg iznosa obračunate kamate.</w:t>
      </w:r>
    </w:p>
    <w:p w14:paraId="42DF0A30" w14:textId="77777777" w:rsidR="00CF6D46" w:rsidRPr="004C3F2B" w:rsidRDefault="00CF6D46">
      <w:pPr>
        <w:rPr>
          <w:rFonts w:cs="Times New Roman"/>
        </w:rPr>
      </w:pPr>
    </w:p>
    <w:p w14:paraId="0196B7C5" w14:textId="2EA9DCEB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E07FF9">
        <w:rPr>
          <w:rFonts w:cs="Times New Roman"/>
          <w:sz w:val="28"/>
        </w:rPr>
        <w:t>8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41A2D9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4BC5D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AED50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BEFDE1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E5A6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028EC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E9BFC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550FFC2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F0FBB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B3D44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A4CB8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E01B7" w14:textId="5AD4523D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530.019,49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49F47" w14:textId="779D1B68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517.519,85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F1971" w14:textId="3E21731F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97,6</w:t>
            </w:r>
          </w:p>
        </w:tc>
      </w:tr>
    </w:tbl>
    <w:p w14:paraId="61499140" w14:textId="77777777" w:rsidR="00CF6D46" w:rsidRPr="004C3F2B" w:rsidRDefault="00CF6D46">
      <w:pPr>
        <w:spacing w:after="0"/>
        <w:rPr>
          <w:rFonts w:cs="Times New Roman"/>
        </w:rPr>
      </w:pPr>
    </w:p>
    <w:p w14:paraId="5E5634B7" w14:textId="158DC3FA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Prihodi iz nadležnog proračuna odnose se na sredstva osigurana u proračunu Primorsko-goranske županije za financiranje rashoda poslovanja i </w:t>
      </w:r>
      <w:r w:rsidR="00476621" w:rsidRPr="004C3F2B">
        <w:rPr>
          <w:rFonts w:cs="Times New Roman"/>
        </w:rPr>
        <w:t>na razini su ostvarenog u izvještajnom razdoblju prethodne godine.</w:t>
      </w:r>
    </w:p>
    <w:p w14:paraId="2C3142F9" w14:textId="77777777" w:rsidR="00CF6D46" w:rsidRPr="004C3F2B" w:rsidRDefault="00CF6D46">
      <w:pPr>
        <w:rPr>
          <w:rFonts w:cs="Times New Roman"/>
        </w:rPr>
      </w:pPr>
    </w:p>
    <w:p w14:paraId="78E312E9" w14:textId="4D594C99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E07FF9">
        <w:rPr>
          <w:rFonts w:cs="Times New Roman"/>
          <w:sz w:val="28"/>
        </w:rPr>
        <w:t>9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395D6B5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96749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C3211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961C9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92AEB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05D79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EDE92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60A5E0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CD761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0F8319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52E47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D0540" w14:textId="5887B669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3.130,40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F4F94" w14:textId="31792965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5.210,25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CA6BF" w14:textId="7BBB6B5D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166,4</w:t>
            </w:r>
          </w:p>
        </w:tc>
      </w:tr>
    </w:tbl>
    <w:p w14:paraId="5698E28C" w14:textId="77777777" w:rsidR="00CF6D46" w:rsidRPr="004C3F2B" w:rsidRDefault="00CF6D46">
      <w:pPr>
        <w:spacing w:after="0"/>
        <w:rPr>
          <w:rFonts w:cs="Times New Roman"/>
        </w:rPr>
      </w:pPr>
    </w:p>
    <w:p w14:paraId="4237F2E5" w14:textId="5A788F18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U tekućem izvještajnom razdoblju iz sredstava PGŽ financirana je nabava uredskog namještaja</w:t>
      </w:r>
      <w:r w:rsidR="00476621" w:rsidRPr="004C3F2B">
        <w:rPr>
          <w:rFonts w:cs="Times New Roman"/>
        </w:rPr>
        <w:t xml:space="preserve">, </w:t>
      </w:r>
      <w:r w:rsidRPr="004C3F2B">
        <w:rPr>
          <w:rFonts w:cs="Times New Roman"/>
        </w:rPr>
        <w:t xml:space="preserve">računala s operativnim sustavom </w:t>
      </w:r>
      <w:r w:rsidR="00476621" w:rsidRPr="004C3F2B">
        <w:rPr>
          <w:rFonts w:cs="Times New Roman"/>
        </w:rPr>
        <w:t xml:space="preserve">i printera te je </w:t>
      </w:r>
      <w:r w:rsidR="001F24E6" w:rsidRPr="004C3F2B">
        <w:rPr>
          <w:rFonts w:cs="Times New Roman"/>
        </w:rPr>
        <w:t>i</w:t>
      </w:r>
      <w:r w:rsidR="00476621" w:rsidRPr="004C3F2B">
        <w:rPr>
          <w:rFonts w:cs="Times New Roman"/>
        </w:rPr>
        <w:t xml:space="preserve">z proračuna </w:t>
      </w:r>
      <w:proofErr w:type="spellStart"/>
      <w:r w:rsidR="001F24E6" w:rsidRPr="004C3F2B">
        <w:rPr>
          <w:rFonts w:cs="Times New Roman"/>
        </w:rPr>
        <w:t>predfinancirana</w:t>
      </w:r>
      <w:proofErr w:type="spellEnd"/>
      <w:r w:rsidR="001F24E6" w:rsidRPr="004C3F2B">
        <w:rPr>
          <w:rFonts w:cs="Times New Roman"/>
        </w:rPr>
        <w:t xml:space="preserve"> i manjim dijelom finan</w:t>
      </w:r>
      <w:r w:rsidR="00476621" w:rsidRPr="004C3F2B">
        <w:rPr>
          <w:rFonts w:cs="Times New Roman"/>
        </w:rPr>
        <w:t>cirana nabava VR naočala unutar novog projekta agencije</w:t>
      </w:r>
      <w:r w:rsidR="001F24E6" w:rsidRPr="004C3F2B">
        <w:rPr>
          <w:rFonts w:cs="Times New Roman"/>
        </w:rPr>
        <w:t xml:space="preserve"> Š(K)OLA 5.0.</w:t>
      </w:r>
    </w:p>
    <w:p w14:paraId="776E1374" w14:textId="77777777" w:rsidR="00CF6D46" w:rsidRPr="004C3F2B" w:rsidRDefault="00CF6D46">
      <w:pPr>
        <w:rPr>
          <w:rFonts w:cs="Times New Roman"/>
        </w:rPr>
      </w:pPr>
    </w:p>
    <w:p w14:paraId="54ED484B" w14:textId="17B4C606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E07FF9">
        <w:rPr>
          <w:rFonts w:cs="Times New Roman"/>
          <w:sz w:val="28"/>
        </w:rPr>
        <w:t>10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2F42A4D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B4887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A305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E715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02094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EAA28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27296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1F07236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B5784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19381B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A6181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B4D21" w14:textId="1D7E6A20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821.983,85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5ADED4" w14:textId="1BB7D4E5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1.068.326,30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33DCF" w14:textId="204FAFE5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130,0</w:t>
            </w:r>
          </w:p>
        </w:tc>
      </w:tr>
    </w:tbl>
    <w:p w14:paraId="6FE56A19" w14:textId="77777777" w:rsidR="00CF6D46" w:rsidRPr="004C3F2B" w:rsidRDefault="00CF6D46">
      <w:pPr>
        <w:spacing w:after="0"/>
        <w:rPr>
          <w:rFonts w:cs="Times New Roman"/>
        </w:rPr>
      </w:pPr>
    </w:p>
    <w:p w14:paraId="4F2438D1" w14:textId="7EF66746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lastRenderedPageBreak/>
        <w:t xml:space="preserve">Rashodi poslovanja u tekućem izvještajnom razdoblju bilježe povećanje od </w:t>
      </w:r>
      <w:r w:rsidR="001F24E6" w:rsidRPr="004C3F2B">
        <w:rPr>
          <w:rFonts w:cs="Times New Roman"/>
        </w:rPr>
        <w:t>30,0</w:t>
      </w:r>
      <w:r w:rsidRPr="004C3F2B">
        <w:rPr>
          <w:rFonts w:cs="Times New Roman"/>
        </w:rPr>
        <w:t>%. Povećanje najvećim dijelom proizlazi iz povećanja rashoda za zaposlene uslijed povećanja broja zaposlenih i plaća zaposlenika</w:t>
      </w:r>
      <w:r w:rsidR="001F24E6" w:rsidRPr="004C3F2B">
        <w:rPr>
          <w:rFonts w:cs="Times New Roman"/>
        </w:rPr>
        <w:t xml:space="preserve"> te evidentiranja rashoda prema modificiranom obračunskom načelu, te ih je u ovom izvještajnom razdoblju prikazano 13 za razliku od</w:t>
      </w:r>
      <w:r w:rsidR="003B78C0" w:rsidRPr="004C3F2B">
        <w:rPr>
          <w:rFonts w:cs="Times New Roman"/>
        </w:rPr>
        <w:t xml:space="preserve"> prošlogodišnjeg</w:t>
      </w:r>
      <w:r w:rsidR="001F24E6" w:rsidRPr="004C3F2B">
        <w:rPr>
          <w:rFonts w:cs="Times New Roman"/>
        </w:rPr>
        <w:t xml:space="preserve"> izvještajnog razdoblja kada ih je prikazano 12.</w:t>
      </w:r>
    </w:p>
    <w:p w14:paraId="3BA48DF5" w14:textId="77777777" w:rsidR="00CF6D46" w:rsidRPr="004C3F2B" w:rsidRDefault="00CF6D46">
      <w:pPr>
        <w:rPr>
          <w:rFonts w:cs="Times New Roman"/>
        </w:rPr>
      </w:pPr>
    </w:p>
    <w:p w14:paraId="32E6B64A" w14:textId="40F2A951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1</w:t>
      </w:r>
      <w:r w:rsidR="00E07FF9">
        <w:rPr>
          <w:rFonts w:cs="Times New Roman"/>
          <w:sz w:val="28"/>
        </w:rPr>
        <w:t>1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3C2D17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BF6E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B8A02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A27E6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96CBC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D3B6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C5607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001784F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FAC09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7AB10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A5DD5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E5FC3" w14:textId="34BF7294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445.540,44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C9C33" w14:textId="799BAD65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667.316,42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11AA2" w14:textId="1C1FCC1E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149,8</w:t>
            </w:r>
          </w:p>
        </w:tc>
      </w:tr>
    </w:tbl>
    <w:p w14:paraId="215559A4" w14:textId="77777777" w:rsidR="00CF6D46" w:rsidRPr="004C3F2B" w:rsidRDefault="00CF6D46">
      <w:pPr>
        <w:spacing w:after="0"/>
        <w:rPr>
          <w:rFonts w:cs="Times New Roman"/>
        </w:rPr>
      </w:pPr>
    </w:p>
    <w:p w14:paraId="625CB4DB" w14:textId="647A3985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Bruto plaće bilježe rast od 4</w:t>
      </w:r>
      <w:r w:rsidR="001F24E6" w:rsidRPr="004C3F2B">
        <w:rPr>
          <w:rFonts w:cs="Times New Roman"/>
        </w:rPr>
        <w:t>9,8</w:t>
      </w:r>
      <w:r w:rsidRPr="004C3F2B">
        <w:rPr>
          <w:rFonts w:cs="Times New Roman"/>
        </w:rPr>
        <w:t>% u tekućem izvještajnom razdoblju. Povećanje proizlazi iz povećanja osnovice plaća i koeficijenata složenosti radnih mjesta te povećanja broja zaposlenih.</w:t>
      </w:r>
      <w:r w:rsidR="001F24E6" w:rsidRPr="004C3F2B">
        <w:rPr>
          <w:rFonts w:cs="Times New Roman"/>
        </w:rPr>
        <w:t xml:space="preserve"> Povećanje je i rezultat evidentiranja rashoda prema modificiranom obračunskom načelu te je u ovom razdoblju prikazano 13 plaća.</w:t>
      </w:r>
    </w:p>
    <w:p w14:paraId="19931997" w14:textId="77777777" w:rsidR="00CF6D46" w:rsidRPr="004C3F2B" w:rsidRDefault="00CF6D46">
      <w:pPr>
        <w:rPr>
          <w:rFonts w:cs="Times New Roman"/>
        </w:rPr>
      </w:pPr>
    </w:p>
    <w:p w14:paraId="3B497C24" w14:textId="6319127D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1</w:t>
      </w:r>
      <w:r w:rsidR="00E07FF9">
        <w:rPr>
          <w:rFonts w:cs="Times New Roman"/>
          <w:sz w:val="28"/>
        </w:rPr>
        <w:t>2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41A1E84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C3318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0D42A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85527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7A9C9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95E1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B323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04A4DD4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8E181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CFF96B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0328C" w14:textId="77777777" w:rsidR="00FA5FFA" w:rsidRPr="004C3F2B" w:rsidRDefault="00FA5FFA" w:rsidP="00FA5FF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BFF2EF" w14:textId="7BC57632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37.249,55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79F01" w14:textId="797FD550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43.614,30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BBD94" w14:textId="58415511" w:rsidR="00FA5FFA" w:rsidRPr="004C3F2B" w:rsidRDefault="00FA5FFA" w:rsidP="00FA5FF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117,1</w:t>
            </w:r>
          </w:p>
        </w:tc>
      </w:tr>
    </w:tbl>
    <w:p w14:paraId="43C92EFA" w14:textId="77777777" w:rsidR="00CF6D46" w:rsidRPr="004C3F2B" w:rsidRDefault="00CF6D46">
      <w:pPr>
        <w:spacing w:after="0"/>
        <w:rPr>
          <w:rFonts w:cs="Times New Roman"/>
        </w:rPr>
      </w:pPr>
    </w:p>
    <w:p w14:paraId="181C0C48" w14:textId="759B0395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Ostali rashodi za zaposlene uključuju naknadu za topli obrok, uskrsnicu, regres za godišnji odmor</w:t>
      </w:r>
      <w:r w:rsidR="001F24E6" w:rsidRPr="004C3F2B">
        <w:rPr>
          <w:rFonts w:cs="Times New Roman"/>
        </w:rPr>
        <w:t>, dar za dijete, božićnicu, dar za zaposlenike</w:t>
      </w:r>
      <w:r w:rsidRPr="004C3F2B">
        <w:rPr>
          <w:rFonts w:cs="Times New Roman"/>
        </w:rPr>
        <w:t xml:space="preserve"> te potporu u slučaju smrti člana uže obitelji i potporu za dugotrajno bolovanje i bilježe povećanje od 1</w:t>
      </w:r>
      <w:r w:rsidR="001F24E6" w:rsidRPr="004C3F2B">
        <w:rPr>
          <w:rFonts w:cs="Times New Roman"/>
        </w:rPr>
        <w:t>7</w:t>
      </w:r>
      <w:r w:rsidRPr="004C3F2B">
        <w:rPr>
          <w:rFonts w:cs="Times New Roman"/>
        </w:rPr>
        <w:t>,1%. Povećanje proizlazi iz rasta broja zaposlenih i rashoda za potpore kojih nije bilo u izvještajnom razdoblju prethodne godine</w:t>
      </w:r>
      <w:r w:rsidR="001F24E6" w:rsidRPr="004C3F2B">
        <w:rPr>
          <w:rFonts w:cs="Times New Roman"/>
        </w:rPr>
        <w:t xml:space="preserve"> te prikazivanja rashoda prema modificiranom obračunskom načelu.</w:t>
      </w:r>
    </w:p>
    <w:p w14:paraId="070FE95F" w14:textId="77777777" w:rsidR="00CF6D46" w:rsidRPr="004C3F2B" w:rsidRDefault="00CF6D46">
      <w:pPr>
        <w:rPr>
          <w:rFonts w:cs="Times New Roman"/>
        </w:rPr>
      </w:pPr>
    </w:p>
    <w:p w14:paraId="0878925E" w14:textId="66B4B441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1</w:t>
      </w:r>
      <w:r w:rsidR="00E07FF9">
        <w:rPr>
          <w:rFonts w:cs="Times New Roman"/>
          <w:sz w:val="28"/>
        </w:rPr>
        <w:t>3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022CB4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3E41D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2D659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5D571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A4A5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28980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1DFA0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10E2848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DEE82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3A7C6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850C1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ED428" w14:textId="4D75A253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73.514,17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DC66B" w14:textId="3D6DAA97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110.107,55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1C013" w14:textId="43222611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149,8</w:t>
            </w:r>
          </w:p>
        </w:tc>
      </w:tr>
    </w:tbl>
    <w:p w14:paraId="5D01F60B" w14:textId="77777777" w:rsidR="00CF6D46" w:rsidRPr="004C3F2B" w:rsidRDefault="00CF6D46">
      <w:pPr>
        <w:spacing w:after="0"/>
        <w:rPr>
          <w:rFonts w:cs="Times New Roman"/>
        </w:rPr>
      </w:pPr>
    </w:p>
    <w:p w14:paraId="2F48F224" w14:textId="760562D7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Doprinosi na plaće, kao i bruto plaće, bilježe rast od 4</w:t>
      </w:r>
      <w:r w:rsidR="00030CDE" w:rsidRPr="004C3F2B">
        <w:rPr>
          <w:rFonts w:cs="Times New Roman"/>
        </w:rPr>
        <w:t>9,8</w:t>
      </w:r>
      <w:r w:rsidRPr="004C3F2B">
        <w:rPr>
          <w:rFonts w:cs="Times New Roman"/>
        </w:rPr>
        <w:t>%. Povećanje proizlazi iz povećanja osnovice plaća i koeficijenata složenosti radnih mjesta te povećanja broja zaposlenika.</w:t>
      </w:r>
      <w:r w:rsidR="00030CDE" w:rsidRPr="004C3F2B">
        <w:rPr>
          <w:rFonts w:cs="Times New Roman"/>
        </w:rPr>
        <w:t xml:space="preserve"> Povećanje je i rezultat evidentiranja rashoda prema modificiranom obračunskom načelu te je u ovom razdoblju prikazano 13 obračuna plaća. </w:t>
      </w:r>
    </w:p>
    <w:p w14:paraId="1C7E295F" w14:textId="77777777" w:rsidR="00CF6D46" w:rsidRPr="004C3F2B" w:rsidRDefault="00CF6D46">
      <w:pPr>
        <w:rPr>
          <w:rFonts w:cs="Times New Roman"/>
        </w:rPr>
      </w:pPr>
    </w:p>
    <w:p w14:paraId="2F05D045" w14:textId="27682CF5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lastRenderedPageBreak/>
        <w:t>Bilješka 1</w:t>
      </w:r>
      <w:r w:rsidR="00E07FF9">
        <w:rPr>
          <w:rFonts w:cs="Times New Roman"/>
          <w:sz w:val="28"/>
        </w:rPr>
        <w:t>4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0CC92B0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3A7BC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68168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F4FC4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3FC01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7781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81B38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258E63D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3A25A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F81A23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F501C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12021" w14:textId="163DBEE1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28.784,01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A951D" w14:textId="2C26E191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49.303,26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74E94" w14:textId="56B381F8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171,3</w:t>
            </w:r>
          </w:p>
        </w:tc>
      </w:tr>
    </w:tbl>
    <w:p w14:paraId="62986A3F" w14:textId="77777777" w:rsidR="00CF6D46" w:rsidRPr="004C3F2B" w:rsidRDefault="00CF6D46">
      <w:pPr>
        <w:spacing w:after="0"/>
        <w:rPr>
          <w:rFonts w:cs="Times New Roman"/>
        </w:rPr>
      </w:pPr>
    </w:p>
    <w:p w14:paraId="0C30CF80" w14:textId="720C5454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U tekućem izvještajnom razdoblju u odnosu na izvještajno razdoblje prethodne godine naknade troškova za zaposlene bilježe povećanje od </w:t>
      </w:r>
      <w:r w:rsidR="00030CDE" w:rsidRPr="004C3F2B">
        <w:rPr>
          <w:rFonts w:cs="Times New Roman"/>
        </w:rPr>
        <w:t>71,3</w:t>
      </w:r>
      <w:r w:rsidRPr="004C3F2B">
        <w:rPr>
          <w:rFonts w:cs="Times New Roman"/>
        </w:rPr>
        <w:t>%. Ovi troškovi uključuju naknade za službena putovanja, naknade za prijevoz te stručno usavršavanje zaposlenika. Ostvareno je znatno više u tekućem izvještajnom razdoblju jer su se povećali svi navedeni troškovi. Naknade za prijevoz na posao i s posla</w:t>
      </w:r>
      <w:r w:rsidR="008754D2" w:rsidRPr="004C3F2B">
        <w:rPr>
          <w:rFonts w:cs="Times New Roman"/>
        </w:rPr>
        <w:t>,</w:t>
      </w:r>
      <w:r w:rsidRPr="004C3F2B">
        <w:rPr>
          <w:rFonts w:cs="Times New Roman"/>
        </w:rPr>
        <w:t xml:space="preserve"> zbog povećanja broja zaposlenih, stručna usavršavanja zaposlenika jer su zaposlenici sudjelovali na većem broju edukacija i usavršavanja te su troškovi službenih putovanja povećani zbog većeg broja višednevnih putovanja u inozemstvo radi održavanja projektnih sastanaka i događanja vezanih za EU projekte.</w:t>
      </w:r>
    </w:p>
    <w:p w14:paraId="47952875" w14:textId="77777777" w:rsidR="00CF6D46" w:rsidRPr="004C3F2B" w:rsidRDefault="00CF6D46">
      <w:pPr>
        <w:rPr>
          <w:rFonts w:cs="Times New Roman"/>
        </w:rPr>
      </w:pPr>
    </w:p>
    <w:p w14:paraId="403DEADE" w14:textId="03E0B723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1</w:t>
      </w:r>
      <w:r w:rsidR="00E07FF9">
        <w:rPr>
          <w:rFonts w:cs="Times New Roman"/>
          <w:sz w:val="28"/>
        </w:rPr>
        <w:t>5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0BC349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822BD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9693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5C0BD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FEC1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25CD1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FABEB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213CCE9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7AE6D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B78D8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7C9DE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8037F" w14:textId="5514C9F0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12.662,63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ADB4D" w14:textId="57F3D74D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10.815,52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C13B4" w14:textId="0E5EC972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85,4</w:t>
            </w:r>
          </w:p>
        </w:tc>
      </w:tr>
    </w:tbl>
    <w:p w14:paraId="34CF17EE" w14:textId="77777777" w:rsidR="00CF6D46" w:rsidRPr="004C3F2B" w:rsidRDefault="00CF6D46">
      <w:pPr>
        <w:spacing w:after="0"/>
        <w:rPr>
          <w:rFonts w:cs="Times New Roman"/>
        </w:rPr>
      </w:pPr>
    </w:p>
    <w:p w14:paraId="31912DE8" w14:textId="595064A9" w:rsidR="00CF6D46" w:rsidRPr="004C3F2B" w:rsidRDefault="00000000" w:rsidP="00A1393D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Rashodi za materijal i energiju, ukupno gledajući, </w:t>
      </w:r>
      <w:r w:rsidR="00B81151" w:rsidRPr="004C3F2B">
        <w:rPr>
          <w:rFonts w:cs="Times New Roman"/>
        </w:rPr>
        <w:t>bilježe smanjenje</w:t>
      </w:r>
      <w:r w:rsidRPr="004C3F2B">
        <w:rPr>
          <w:rFonts w:cs="Times New Roman"/>
        </w:rPr>
        <w:t xml:space="preserve"> </w:t>
      </w:r>
      <w:r w:rsidR="00B81151" w:rsidRPr="004C3F2B">
        <w:rPr>
          <w:rFonts w:cs="Times New Roman"/>
        </w:rPr>
        <w:t>od 14,6% u odnosu na ostvareno u izvještajnom razdoblju prethodne godine. N</w:t>
      </w:r>
      <w:r w:rsidRPr="004C3F2B">
        <w:rPr>
          <w:rFonts w:cs="Times New Roman"/>
        </w:rPr>
        <w:t xml:space="preserve">jihova struktura </w:t>
      </w:r>
      <w:r w:rsidR="00B81151" w:rsidRPr="004C3F2B">
        <w:rPr>
          <w:rFonts w:cs="Times New Roman"/>
        </w:rPr>
        <w:t xml:space="preserve">se </w:t>
      </w:r>
      <w:r w:rsidRPr="004C3F2B">
        <w:rPr>
          <w:rFonts w:cs="Times New Roman"/>
        </w:rPr>
        <w:t xml:space="preserve">nije mijenjala, ali je došlo do znatnih povećanja i smanjenja unutar pojedinih rashoda. Energija i sitni inventar i </w:t>
      </w:r>
      <w:proofErr w:type="spellStart"/>
      <w:r w:rsidRPr="004C3F2B">
        <w:rPr>
          <w:rFonts w:cs="Times New Roman"/>
        </w:rPr>
        <w:t>autogume</w:t>
      </w:r>
      <w:proofErr w:type="spellEnd"/>
      <w:r w:rsidRPr="004C3F2B">
        <w:rPr>
          <w:rFonts w:cs="Times New Roman"/>
        </w:rPr>
        <w:t xml:space="preserve"> ne bilježe </w:t>
      </w:r>
      <w:r w:rsidR="00B81151" w:rsidRPr="004C3F2B">
        <w:rPr>
          <w:rFonts w:cs="Times New Roman"/>
        </w:rPr>
        <w:t xml:space="preserve">značajna </w:t>
      </w:r>
      <w:r w:rsidRPr="004C3F2B">
        <w:rPr>
          <w:rFonts w:cs="Times New Roman"/>
        </w:rPr>
        <w:t>odstupanj</w:t>
      </w:r>
      <w:r w:rsidR="00B81151" w:rsidRPr="004C3F2B">
        <w:rPr>
          <w:rFonts w:cs="Times New Roman"/>
        </w:rPr>
        <w:t>a</w:t>
      </w:r>
      <w:r w:rsidRPr="004C3F2B">
        <w:rPr>
          <w:rFonts w:cs="Times New Roman"/>
        </w:rPr>
        <w:t xml:space="preserve">, uredski materijal i ostali materijalni rashodi bilježe značajno povećanje zbog više cijene uredskog materijala, dok materijal i dijelovi za tekuće i investicijsko održavanje bilježe značajno smanjenje jer su dijelovi i materijal </w:t>
      </w:r>
      <w:r w:rsidR="00B81151" w:rsidRPr="004C3F2B">
        <w:rPr>
          <w:rFonts w:cs="Times New Roman"/>
        </w:rPr>
        <w:t xml:space="preserve">u ovom izvještajnom razdoblju nabavljeni </w:t>
      </w:r>
      <w:r w:rsidRPr="004C3F2B">
        <w:rPr>
          <w:rFonts w:cs="Times New Roman"/>
        </w:rPr>
        <w:t>u sklopu usluga za tekuće i investicijsko održavanje</w:t>
      </w:r>
      <w:r w:rsidR="00B81151" w:rsidRPr="004C3F2B">
        <w:rPr>
          <w:rFonts w:cs="Times New Roman"/>
        </w:rPr>
        <w:t>, što predstavlja najveći razlog smanjenja ovih rashoda</w:t>
      </w:r>
      <w:r w:rsidRPr="004C3F2B">
        <w:rPr>
          <w:rFonts w:cs="Times New Roman"/>
        </w:rPr>
        <w:t>.</w:t>
      </w:r>
    </w:p>
    <w:p w14:paraId="3A693764" w14:textId="77777777" w:rsidR="00A1393D" w:rsidRPr="004C3F2B" w:rsidRDefault="00A1393D" w:rsidP="00A1393D">
      <w:pPr>
        <w:spacing w:line="240" w:lineRule="auto"/>
        <w:jc w:val="both"/>
        <w:rPr>
          <w:rFonts w:cs="Times New Roman"/>
        </w:rPr>
      </w:pPr>
    </w:p>
    <w:p w14:paraId="299AEA3C" w14:textId="16BF1A96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1</w:t>
      </w:r>
      <w:r w:rsidR="00E07FF9">
        <w:rPr>
          <w:rFonts w:cs="Times New Roman"/>
          <w:sz w:val="28"/>
        </w:rPr>
        <w:t>6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2DE0D52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8C82E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4520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B645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4D48A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A8CCB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83FB6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1E654E7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EF1B2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6B050B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D4680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64543" w14:textId="18148CC6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200.086,68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4BEDFD" w14:textId="4BA88FFD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162.538,28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5C3CB" w14:textId="0D444EC6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81,2</w:t>
            </w:r>
          </w:p>
        </w:tc>
      </w:tr>
    </w:tbl>
    <w:p w14:paraId="2F80F07F" w14:textId="77777777" w:rsidR="00CF6D46" w:rsidRPr="004C3F2B" w:rsidRDefault="00CF6D46">
      <w:pPr>
        <w:spacing w:after="0"/>
        <w:rPr>
          <w:rFonts w:cs="Times New Roman"/>
        </w:rPr>
      </w:pPr>
    </w:p>
    <w:p w14:paraId="6BD24C24" w14:textId="77777777" w:rsidR="00135AE1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Rashodi za usluge ostvareni </w:t>
      </w:r>
      <w:r w:rsidR="00135AE1" w:rsidRPr="004C3F2B">
        <w:rPr>
          <w:rFonts w:cs="Times New Roman"/>
        </w:rPr>
        <w:t>su za 18,8% manje u odnosu na ostvarenje u izvještajnom razdoblju prethodne godine te</w:t>
      </w:r>
      <w:r w:rsidRPr="004C3F2B">
        <w:rPr>
          <w:rFonts w:cs="Times New Roman"/>
        </w:rPr>
        <w:t xml:space="preserve"> po pojedinim vrstama usluga bilježe značajna odstupanja. Značajna povećanja bilježe rashodi za usluge po svim odjeljcima, osim odjeljk</w:t>
      </w:r>
      <w:r w:rsidR="00135AE1" w:rsidRPr="004C3F2B">
        <w:rPr>
          <w:rFonts w:cs="Times New Roman"/>
        </w:rPr>
        <w:t>a</w:t>
      </w:r>
      <w:r w:rsidRPr="004C3F2B">
        <w:rPr>
          <w:rFonts w:cs="Times New Roman"/>
        </w:rPr>
        <w:t xml:space="preserve"> intelektualnih i osobnih usluga</w:t>
      </w:r>
      <w:r w:rsidR="00135AE1" w:rsidRPr="004C3F2B">
        <w:rPr>
          <w:rFonts w:cs="Times New Roman"/>
        </w:rPr>
        <w:t xml:space="preserve"> te usluga promidžbe i informiranja koji </w:t>
      </w:r>
      <w:r w:rsidRPr="004C3F2B">
        <w:rPr>
          <w:rFonts w:cs="Times New Roman"/>
        </w:rPr>
        <w:t>biljež</w:t>
      </w:r>
      <w:r w:rsidR="00135AE1" w:rsidRPr="004C3F2B">
        <w:rPr>
          <w:rFonts w:cs="Times New Roman"/>
        </w:rPr>
        <w:t>e</w:t>
      </w:r>
      <w:r w:rsidRPr="004C3F2B">
        <w:rPr>
          <w:rFonts w:cs="Times New Roman"/>
        </w:rPr>
        <w:t xml:space="preserve"> značajno smanjenje.</w:t>
      </w:r>
    </w:p>
    <w:p w14:paraId="0A65C1EE" w14:textId="77777777" w:rsidR="00E07FF9" w:rsidRDefault="00E07FF9">
      <w:pPr>
        <w:spacing w:line="240" w:lineRule="auto"/>
        <w:jc w:val="both"/>
        <w:rPr>
          <w:rFonts w:cs="Times New Roman"/>
        </w:rPr>
      </w:pPr>
    </w:p>
    <w:p w14:paraId="7222F8A8" w14:textId="77777777" w:rsidR="00E07FF9" w:rsidRPr="004C3F2B" w:rsidRDefault="00E07FF9">
      <w:pPr>
        <w:spacing w:line="240" w:lineRule="auto"/>
        <w:jc w:val="both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1418"/>
        <w:gridCol w:w="1417"/>
        <w:gridCol w:w="1083"/>
      </w:tblGrid>
      <w:tr w:rsidR="008A05FA" w:rsidRPr="004C3F2B" w14:paraId="62C1FFCD" w14:textId="77777777" w:rsidTr="00135AE1">
        <w:tc>
          <w:tcPr>
            <w:tcW w:w="4106" w:type="dxa"/>
            <w:vAlign w:val="center"/>
          </w:tcPr>
          <w:p w14:paraId="5AE00930" w14:textId="7E704E2F" w:rsidR="00135AE1" w:rsidRPr="004C3F2B" w:rsidRDefault="00135AE1" w:rsidP="00135A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3F2B">
              <w:rPr>
                <w:rFonts w:cs="Times New Roman"/>
                <w:sz w:val="16"/>
                <w:szCs w:val="16"/>
              </w:rPr>
              <w:lastRenderedPageBreak/>
              <w:t>Opis stavke</w:t>
            </w:r>
          </w:p>
        </w:tc>
        <w:tc>
          <w:tcPr>
            <w:tcW w:w="992" w:type="dxa"/>
            <w:vAlign w:val="center"/>
          </w:tcPr>
          <w:p w14:paraId="5FCD4ACE" w14:textId="35745D4E" w:rsidR="00135AE1" w:rsidRPr="004C3F2B" w:rsidRDefault="00135AE1" w:rsidP="00135A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3F2B">
              <w:rPr>
                <w:rFonts w:cs="Times New Roman"/>
                <w:sz w:val="16"/>
                <w:szCs w:val="16"/>
              </w:rPr>
              <w:t>Šifra</w:t>
            </w:r>
          </w:p>
        </w:tc>
        <w:tc>
          <w:tcPr>
            <w:tcW w:w="1418" w:type="dxa"/>
            <w:vAlign w:val="center"/>
          </w:tcPr>
          <w:p w14:paraId="61BBAEE7" w14:textId="4C2C5978" w:rsidR="00135AE1" w:rsidRPr="004C3F2B" w:rsidRDefault="00135AE1" w:rsidP="00135A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3F2B">
              <w:rPr>
                <w:rFonts w:cs="Times New Roman"/>
                <w:sz w:val="16"/>
                <w:szCs w:val="16"/>
              </w:rPr>
              <w:t>Ostvareno u izvještajnom razdoblju prethodne godine</w:t>
            </w:r>
          </w:p>
        </w:tc>
        <w:tc>
          <w:tcPr>
            <w:tcW w:w="1417" w:type="dxa"/>
            <w:vAlign w:val="center"/>
          </w:tcPr>
          <w:p w14:paraId="7831CD99" w14:textId="5C712C28" w:rsidR="00135AE1" w:rsidRPr="004C3F2B" w:rsidRDefault="00135AE1" w:rsidP="00135A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3F2B">
              <w:rPr>
                <w:rFonts w:cs="Times New Roman"/>
                <w:sz w:val="16"/>
                <w:szCs w:val="16"/>
              </w:rPr>
              <w:t>Ostvareno u izvještajnom razdoblju tekuće godine</w:t>
            </w:r>
          </w:p>
        </w:tc>
        <w:tc>
          <w:tcPr>
            <w:tcW w:w="1083" w:type="dxa"/>
            <w:vAlign w:val="center"/>
          </w:tcPr>
          <w:p w14:paraId="29A96630" w14:textId="7CB7D305" w:rsidR="00135AE1" w:rsidRPr="004C3F2B" w:rsidRDefault="00135AE1" w:rsidP="00135AE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3F2B">
              <w:rPr>
                <w:rFonts w:cs="Times New Roman"/>
                <w:sz w:val="16"/>
                <w:szCs w:val="16"/>
              </w:rPr>
              <w:t>Indeks (%)</w:t>
            </w:r>
          </w:p>
        </w:tc>
      </w:tr>
      <w:tr w:rsidR="008A05FA" w:rsidRPr="004C3F2B" w14:paraId="3B5B3443" w14:textId="77777777" w:rsidTr="00135AE1">
        <w:tc>
          <w:tcPr>
            <w:tcW w:w="4106" w:type="dxa"/>
          </w:tcPr>
          <w:p w14:paraId="713EBB18" w14:textId="38209395" w:rsidR="00135AE1" w:rsidRPr="004C3F2B" w:rsidRDefault="00135AE1" w:rsidP="00135AE1">
            <w:pPr>
              <w:jc w:val="both"/>
              <w:rPr>
                <w:rFonts w:cs="Times New Roman"/>
              </w:rPr>
            </w:pPr>
            <w:r w:rsidRPr="004C3F2B">
              <w:rPr>
                <w:rFonts w:cs="Times New Roman"/>
              </w:rPr>
              <w:t>Usluge telefona, interneta, pošte i prijevoza</w:t>
            </w:r>
          </w:p>
        </w:tc>
        <w:tc>
          <w:tcPr>
            <w:tcW w:w="992" w:type="dxa"/>
          </w:tcPr>
          <w:p w14:paraId="0E9C89A6" w14:textId="54CA8C5A" w:rsidR="00135AE1" w:rsidRPr="004C3F2B" w:rsidRDefault="00135AE1" w:rsidP="001633F1">
            <w:pPr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</w:rPr>
              <w:t>3231</w:t>
            </w:r>
          </w:p>
        </w:tc>
        <w:tc>
          <w:tcPr>
            <w:tcW w:w="1418" w:type="dxa"/>
          </w:tcPr>
          <w:p w14:paraId="26595795" w14:textId="79772EA3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5.145,87</w:t>
            </w:r>
          </w:p>
        </w:tc>
        <w:tc>
          <w:tcPr>
            <w:tcW w:w="1417" w:type="dxa"/>
          </w:tcPr>
          <w:p w14:paraId="4C81C466" w14:textId="6C450A2A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7.985,94</w:t>
            </w:r>
          </w:p>
        </w:tc>
        <w:tc>
          <w:tcPr>
            <w:tcW w:w="1083" w:type="dxa"/>
          </w:tcPr>
          <w:p w14:paraId="29584BA8" w14:textId="092F3DF5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55,2</w:t>
            </w:r>
          </w:p>
        </w:tc>
      </w:tr>
      <w:tr w:rsidR="008A05FA" w:rsidRPr="004C3F2B" w14:paraId="2550A6BA" w14:textId="77777777" w:rsidTr="00135AE1">
        <w:tc>
          <w:tcPr>
            <w:tcW w:w="4106" w:type="dxa"/>
          </w:tcPr>
          <w:p w14:paraId="34F0CC13" w14:textId="3C6CB58D" w:rsidR="00135AE1" w:rsidRPr="004C3F2B" w:rsidRDefault="00135AE1" w:rsidP="00135AE1">
            <w:pPr>
              <w:jc w:val="both"/>
              <w:rPr>
                <w:rFonts w:cs="Times New Roman"/>
              </w:rPr>
            </w:pPr>
            <w:r w:rsidRPr="004C3F2B">
              <w:rPr>
                <w:rFonts w:cs="Times New Roman"/>
              </w:rPr>
              <w:t>Usluge tekućeg i investicijskog održavanja</w:t>
            </w:r>
          </w:p>
        </w:tc>
        <w:tc>
          <w:tcPr>
            <w:tcW w:w="992" w:type="dxa"/>
          </w:tcPr>
          <w:p w14:paraId="14D1D7A9" w14:textId="317DA403" w:rsidR="00135AE1" w:rsidRPr="004C3F2B" w:rsidRDefault="00135AE1" w:rsidP="001633F1">
            <w:pPr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</w:rPr>
              <w:t>3232</w:t>
            </w:r>
          </w:p>
        </w:tc>
        <w:tc>
          <w:tcPr>
            <w:tcW w:w="1418" w:type="dxa"/>
          </w:tcPr>
          <w:p w14:paraId="514B314E" w14:textId="3C09CD00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3.103,25</w:t>
            </w:r>
          </w:p>
        </w:tc>
        <w:tc>
          <w:tcPr>
            <w:tcW w:w="1417" w:type="dxa"/>
          </w:tcPr>
          <w:p w14:paraId="4CAF5F0B" w14:textId="5F0A3E88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3.403,94</w:t>
            </w:r>
          </w:p>
        </w:tc>
        <w:tc>
          <w:tcPr>
            <w:tcW w:w="1083" w:type="dxa"/>
          </w:tcPr>
          <w:p w14:paraId="7EDDFD70" w14:textId="6A02F1F5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9,7</w:t>
            </w:r>
          </w:p>
        </w:tc>
      </w:tr>
      <w:tr w:rsidR="008A05FA" w:rsidRPr="004C3F2B" w14:paraId="6A6A564F" w14:textId="77777777" w:rsidTr="00135AE1">
        <w:tc>
          <w:tcPr>
            <w:tcW w:w="4106" w:type="dxa"/>
          </w:tcPr>
          <w:p w14:paraId="2218FCEC" w14:textId="58F73A50" w:rsidR="00135AE1" w:rsidRPr="004C3F2B" w:rsidRDefault="00135AE1" w:rsidP="00135AE1">
            <w:pPr>
              <w:jc w:val="both"/>
              <w:rPr>
                <w:rFonts w:cs="Times New Roman"/>
              </w:rPr>
            </w:pPr>
            <w:r w:rsidRPr="004C3F2B">
              <w:rPr>
                <w:rFonts w:cs="Times New Roman"/>
              </w:rPr>
              <w:t>Komunalne usluge</w:t>
            </w:r>
          </w:p>
        </w:tc>
        <w:tc>
          <w:tcPr>
            <w:tcW w:w="992" w:type="dxa"/>
          </w:tcPr>
          <w:p w14:paraId="33ABAAEC" w14:textId="1F84EADA" w:rsidR="00135AE1" w:rsidRPr="004C3F2B" w:rsidRDefault="00135AE1" w:rsidP="001633F1">
            <w:pPr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</w:rPr>
              <w:t>3234</w:t>
            </w:r>
          </w:p>
        </w:tc>
        <w:tc>
          <w:tcPr>
            <w:tcW w:w="1418" w:type="dxa"/>
          </w:tcPr>
          <w:p w14:paraId="5BC8FA9F" w14:textId="4932743A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5.047,43</w:t>
            </w:r>
          </w:p>
        </w:tc>
        <w:tc>
          <w:tcPr>
            <w:tcW w:w="1417" w:type="dxa"/>
          </w:tcPr>
          <w:p w14:paraId="48438C43" w14:textId="2FA1B667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5.422,50</w:t>
            </w:r>
          </w:p>
        </w:tc>
        <w:tc>
          <w:tcPr>
            <w:tcW w:w="1083" w:type="dxa"/>
          </w:tcPr>
          <w:p w14:paraId="6268D2C2" w14:textId="135F8461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7,4</w:t>
            </w:r>
          </w:p>
        </w:tc>
      </w:tr>
      <w:tr w:rsidR="008A05FA" w:rsidRPr="004C3F2B" w14:paraId="6C0B67D9" w14:textId="77777777" w:rsidTr="00135AE1">
        <w:tc>
          <w:tcPr>
            <w:tcW w:w="4106" w:type="dxa"/>
          </w:tcPr>
          <w:p w14:paraId="0C7DFBE1" w14:textId="3A4143E2" w:rsidR="00135AE1" w:rsidRPr="004C3F2B" w:rsidRDefault="00135AE1" w:rsidP="00135AE1">
            <w:pPr>
              <w:jc w:val="both"/>
              <w:rPr>
                <w:rFonts w:cs="Times New Roman"/>
              </w:rPr>
            </w:pPr>
            <w:r w:rsidRPr="004C3F2B">
              <w:rPr>
                <w:rFonts w:cs="Times New Roman"/>
              </w:rPr>
              <w:t>Zakupnine i najamnine</w:t>
            </w:r>
          </w:p>
        </w:tc>
        <w:tc>
          <w:tcPr>
            <w:tcW w:w="992" w:type="dxa"/>
          </w:tcPr>
          <w:p w14:paraId="58349EC9" w14:textId="74D6026D" w:rsidR="00135AE1" w:rsidRPr="004C3F2B" w:rsidRDefault="00135AE1" w:rsidP="001633F1">
            <w:pPr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</w:rPr>
              <w:t>3235</w:t>
            </w:r>
          </w:p>
        </w:tc>
        <w:tc>
          <w:tcPr>
            <w:tcW w:w="1418" w:type="dxa"/>
          </w:tcPr>
          <w:p w14:paraId="75BC59C3" w14:textId="5127FAD2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26.325,72</w:t>
            </w:r>
          </w:p>
        </w:tc>
        <w:tc>
          <w:tcPr>
            <w:tcW w:w="1417" w:type="dxa"/>
          </w:tcPr>
          <w:p w14:paraId="55CC7863" w14:textId="05CE216F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29.682,26</w:t>
            </w:r>
          </w:p>
        </w:tc>
        <w:tc>
          <w:tcPr>
            <w:tcW w:w="1083" w:type="dxa"/>
          </w:tcPr>
          <w:p w14:paraId="20335332" w14:textId="526636DB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12,8</w:t>
            </w:r>
          </w:p>
        </w:tc>
      </w:tr>
      <w:tr w:rsidR="008A05FA" w:rsidRPr="004C3F2B" w14:paraId="4E3D26FC" w14:textId="77777777" w:rsidTr="00135AE1">
        <w:tc>
          <w:tcPr>
            <w:tcW w:w="4106" w:type="dxa"/>
          </w:tcPr>
          <w:p w14:paraId="0C9BE300" w14:textId="2D1363B9" w:rsidR="00135AE1" w:rsidRPr="004C3F2B" w:rsidRDefault="00135AE1" w:rsidP="00135AE1">
            <w:pPr>
              <w:jc w:val="both"/>
              <w:rPr>
                <w:rFonts w:cs="Times New Roman"/>
              </w:rPr>
            </w:pPr>
            <w:r w:rsidRPr="004C3F2B">
              <w:rPr>
                <w:rFonts w:cs="Times New Roman"/>
              </w:rPr>
              <w:t>Zdravstvene i veterinarske usluge</w:t>
            </w:r>
          </w:p>
        </w:tc>
        <w:tc>
          <w:tcPr>
            <w:tcW w:w="992" w:type="dxa"/>
          </w:tcPr>
          <w:p w14:paraId="53603185" w14:textId="5BE570F2" w:rsidR="00135AE1" w:rsidRPr="004C3F2B" w:rsidRDefault="00135AE1" w:rsidP="001633F1">
            <w:pPr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</w:rPr>
              <w:t>3236</w:t>
            </w:r>
          </w:p>
        </w:tc>
        <w:tc>
          <w:tcPr>
            <w:tcW w:w="1418" w:type="dxa"/>
          </w:tcPr>
          <w:p w14:paraId="2C588FD6" w14:textId="0C2ACB5C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3.870,00</w:t>
            </w:r>
          </w:p>
        </w:tc>
        <w:tc>
          <w:tcPr>
            <w:tcW w:w="1417" w:type="dxa"/>
          </w:tcPr>
          <w:p w14:paraId="5C92DA62" w14:textId="60C83AEC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6.900,00</w:t>
            </w:r>
          </w:p>
        </w:tc>
        <w:tc>
          <w:tcPr>
            <w:tcW w:w="1083" w:type="dxa"/>
          </w:tcPr>
          <w:p w14:paraId="08D0D30C" w14:textId="3653638C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78,3</w:t>
            </w:r>
          </w:p>
        </w:tc>
      </w:tr>
      <w:tr w:rsidR="008A05FA" w:rsidRPr="004C3F2B" w14:paraId="073E0763" w14:textId="77777777" w:rsidTr="00135AE1">
        <w:tc>
          <w:tcPr>
            <w:tcW w:w="4106" w:type="dxa"/>
          </w:tcPr>
          <w:p w14:paraId="1B0D7128" w14:textId="3C4B01E2" w:rsidR="00135AE1" w:rsidRPr="004C3F2B" w:rsidRDefault="00135AE1" w:rsidP="00135AE1">
            <w:pPr>
              <w:jc w:val="both"/>
              <w:rPr>
                <w:rFonts w:cs="Times New Roman"/>
              </w:rPr>
            </w:pPr>
            <w:r w:rsidRPr="004C3F2B">
              <w:rPr>
                <w:rFonts w:cs="Times New Roman"/>
              </w:rPr>
              <w:t>Računalne usluge</w:t>
            </w:r>
          </w:p>
        </w:tc>
        <w:tc>
          <w:tcPr>
            <w:tcW w:w="992" w:type="dxa"/>
          </w:tcPr>
          <w:p w14:paraId="6DBADCAD" w14:textId="24940475" w:rsidR="00135AE1" w:rsidRPr="004C3F2B" w:rsidRDefault="00135AE1" w:rsidP="001633F1">
            <w:pPr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</w:rPr>
              <w:t>3238</w:t>
            </w:r>
          </w:p>
        </w:tc>
        <w:tc>
          <w:tcPr>
            <w:tcW w:w="1418" w:type="dxa"/>
          </w:tcPr>
          <w:p w14:paraId="34B0CE30" w14:textId="5D7BCFAC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10.622,84</w:t>
            </w:r>
          </w:p>
        </w:tc>
        <w:tc>
          <w:tcPr>
            <w:tcW w:w="1417" w:type="dxa"/>
          </w:tcPr>
          <w:p w14:paraId="7DE2CC4B" w14:textId="71DAEB26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33.200,30</w:t>
            </w:r>
          </w:p>
        </w:tc>
        <w:tc>
          <w:tcPr>
            <w:tcW w:w="1083" w:type="dxa"/>
          </w:tcPr>
          <w:p w14:paraId="00C456AE" w14:textId="767BFFB2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312,5</w:t>
            </w:r>
          </w:p>
        </w:tc>
      </w:tr>
      <w:tr w:rsidR="008A05FA" w:rsidRPr="004C3F2B" w14:paraId="34624770" w14:textId="77777777" w:rsidTr="00135AE1">
        <w:tc>
          <w:tcPr>
            <w:tcW w:w="4106" w:type="dxa"/>
          </w:tcPr>
          <w:p w14:paraId="34389E9C" w14:textId="0E0D4947" w:rsidR="00135AE1" w:rsidRPr="004C3F2B" w:rsidRDefault="00135AE1" w:rsidP="00135AE1">
            <w:pPr>
              <w:jc w:val="both"/>
              <w:rPr>
                <w:rFonts w:cs="Times New Roman"/>
              </w:rPr>
            </w:pPr>
            <w:r w:rsidRPr="004C3F2B">
              <w:rPr>
                <w:rFonts w:cs="Times New Roman"/>
              </w:rPr>
              <w:t>Ostale usluge</w:t>
            </w:r>
          </w:p>
        </w:tc>
        <w:tc>
          <w:tcPr>
            <w:tcW w:w="992" w:type="dxa"/>
          </w:tcPr>
          <w:p w14:paraId="7B2999FD" w14:textId="2EC0D4C7" w:rsidR="00135AE1" w:rsidRPr="004C3F2B" w:rsidRDefault="00135AE1" w:rsidP="001633F1">
            <w:pPr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</w:rPr>
              <w:t>3239</w:t>
            </w:r>
          </w:p>
        </w:tc>
        <w:tc>
          <w:tcPr>
            <w:tcW w:w="1418" w:type="dxa"/>
          </w:tcPr>
          <w:p w14:paraId="06057E84" w14:textId="36AFA1AC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4.518,81</w:t>
            </w:r>
          </w:p>
        </w:tc>
        <w:tc>
          <w:tcPr>
            <w:tcW w:w="1417" w:type="dxa"/>
          </w:tcPr>
          <w:p w14:paraId="1BD34E52" w14:textId="0ADA12FD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24.753,65</w:t>
            </w:r>
          </w:p>
        </w:tc>
        <w:tc>
          <w:tcPr>
            <w:tcW w:w="1083" w:type="dxa"/>
          </w:tcPr>
          <w:p w14:paraId="14705464" w14:textId="6B171CAB" w:rsidR="00135AE1" w:rsidRPr="004C3F2B" w:rsidRDefault="00135AE1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547,8</w:t>
            </w:r>
          </w:p>
        </w:tc>
      </w:tr>
    </w:tbl>
    <w:p w14:paraId="46A55F71" w14:textId="77777777" w:rsidR="00135AE1" w:rsidRPr="004C3F2B" w:rsidRDefault="00135AE1">
      <w:pPr>
        <w:spacing w:line="240" w:lineRule="auto"/>
        <w:jc w:val="both"/>
        <w:rPr>
          <w:rFonts w:cs="Times New Roman"/>
        </w:rPr>
      </w:pPr>
    </w:p>
    <w:p w14:paraId="386B3B76" w14:textId="5AA781CF" w:rsidR="004200B9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Usluge telefona, interneta, pošte i prijevoza, točnije usluga prijevoza bilježi povećanje od </w:t>
      </w:r>
      <w:r w:rsidR="00135AE1" w:rsidRPr="004C3F2B">
        <w:rPr>
          <w:rFonts w:cs="Times New Roman"/>
        </w:rPr>
        <w:t>55</w:t>
      </w:r>
      <w:r w:rsidRPr="004C3F2B">
        <w:rPr>
          <w:rFonts w:cs="Times New Roman"/>
        </w:rPr>
        <w:t xml:space="preserve">,2% jer je u tekućem izvještajnom razdoblju organiziran projekt Dan karijera 2025 te je za 350 učenika korištena usluga prijevoza autobusom. Usluge tekućeg i investicijskog održavanja bilježe povećanje od </w:t>
      </w:r>
      <w:r w:rsidR="00135AE1" w:rsidRPr="004C3F2B">
        <w:rPr>
          <w:rFonts w:cs="Times New Roman"/>
        </w:rPr>
        <w:t>9</w:t>
      </w:r>
      <w:r w:rsidRPr="004C3F2B">
        <w:rPr>
          <w:rFonts w:cs="Times New Roman"/>
        </w:rPr>
        <w:t>,</w:t>
      </w:r>
      <w:r w:rsidR="00135AE1" w:rsidRPr="004C3F2B">
        <w:rPr>
          <w:rFonts w:cs="Times New Roman"/>
        </w:rPr>
        <w:t>7</w:t>
      </w:r>
      <w:r w:rsidRPr="004C3F2B">
        <w:rPr>
          <w:rFonts w:cs="Times New Roman"/>
        </w:rPr>
        <w:t>% zbog popravka klimatizacijskog uređaja i većih troškova održavanja, popravka i nadogradnji računala u izvještajnom razdoblju tekuće godine</w:t>
      </w:r>
      <w:r w:rsidR="00D063A6" w:rsidRPr="004C3F2B">
        <w:rPr>
          <w:rFonts w:cs="Times New Roman"/>
        </w:rPr>
        <w:t>. Komunalne usluge bilježe povećanje od 7,4% zbog evidentiranja rashoda prema modificiranom obračunskom načelu,</w:t>
      </w:r>
      <w:r w:rsidRPr="004C3F2B">
        <w:rPr>
          <w:rFonts w:cs="Times New Roman"/>
        </w:rPr>
        <w:t xml:space="preserve"> dok je kod zakupnina i najamnina povećanje</w:t>
      </w:r>
      <w:r w:rsidR="00D063A6" w:rsidRPr="004C3F2B">
        <w:rPr>
          <w:rFonts w:cs="Times New Roman"/>
        </w:rPr>
        <w:t xml:space="preserve"> u izvještajnom razdoblju tekuće godine</w:t>
      </w:r>
      <w:r w:rsidRPr="004C3F2B">
        <w:rPr>
          <w:rFonts w:cs="Times New Roman"/>
        </w:rPr>
        <w:t xml:space="preserve"> od 1</w:t>
      </w:r>
      <w:r w:rsidR="00135AE1" w:rsidRPr="004C3F2B">
        <w:rPr>
          <w:rFonts w:cs="Times New Roman"/>
        </w:rPr>
        <w:t>2,8</w:t>
      </w:r>
      <w:r w:rsidRPr="004C3F2B">
        <w:rPr>
          <w:rFonts w:cs="Times New Roman"/>
        </w:rPr>
        <w:t xml:space="preserve">% posljedica plaćanja godišnje licence programa za internetsku sigurnost i najma opreme za organizaciju konferencije posvećene budućnosti regionalne i kohezijske politike Europske unije. </w:t>
      </w:r>
      <w:r w:rsidR="00D063A6" w:rsidRPr="004C3F2B">
        <w:rPr>
          <w:rFonts w:cs="Times New Roman"/>
        </w:rPr>
        <w:t xml:space="preserve">Zdravstvene usluge odnose se na preventivne sistematske preglede zaposlenika i bilježe povećanje od 78,3% uslijed poskupljena navedenih usluga i većeg broja zaposlenika. </w:t>
      </w:r>
      <w:r w:rsidRPr="004C3F2B">
        <w:rPr>
          <w:rFonts w:cs="Times New Roman"/>
        </w:rPr>
        <w:t>Najznačajnij</w:t>
      </w:r>
      <w:r w:rsidR="00D063A6" w:rsidRPr="004C3F2B">
        <w:rPr>
          <w:rFonts w:cs="Times New Roman"/>
        </w:rPr>
        <w:t>a</w:t>
      </w:r>
      <w:r w:rsidRPr="004C3F2B">
        <w:rPr>
          <w:rFonts w:cs="Times New Roman"/>
        </w:rPr>
        <w:t xml:space="preserve"> povećanje</w:t>
      </w:r>
      <w:r w:rsidR="00D063A6" w:rsidRPr="004C3F2B">
        <w:rPr>
          <w:rFonts w:cs="Times New Roman"/>
        </w:rPr>
        <w:t xml:space="preserve"> bilježe računalne i ostale usluge. Posljedica povećanja računalnih usluga od 3 puta je razvoj digitalne platforme temeljene na umjetnoj inteligenciji za praćenje EU javnih poziva i natječaja u sklopu projekt PAMETNA REGIJA. Ostale usluge bilježe značajno povećanje od 5 i pol puta</w:t>
      </w:r>
      <w:r w:rsidRPr="004C3F2B">
        <w:rPr>
          <w:rFonts w:cs="Times New Roman"/>
        </w:rPr>
        <w:t xml:space="preserve"> uslijed </w:t>
      </w:r>
      <w:r w:rsidR="004200B9" w:rsidRPr="004C3F2B">
        <w:rPr>
          <w:rFonts w:cs="Times New Roman"/>
        </w:rPr>
        <w:t xml:space="preserve">novo nastalih troškova štićenja poslovnog prostora, ali i </w:t>
      </w:r>
      <w:r w:rsidRPr="004C3F2B">
        <w:rPr>
          <w:rFonts w:cs="Times New Roman"/>
        </w:rPr>
        <w:t>retrogradnog fakturir</w:t>
      </w:r>
      <w:r w:rsidR="00025C5C" w:rsidRPr="004C3F2B">
        <w:rPr>
          <w:rFonts w:cs="Times New Roman"/>
        </w:rPr>
        <w:t>anja</w:t>
      </w:r>
      <w:r w:rsidRPr="004C3F2B">
        <w:rPr>
          <w:rFonts w:cs="Times New Roman"/>
        </w:rPr>
        <w:t xml:space="preserve"> </w:t>
      </w:r>
      <w:r w:rsidR="004200B9" w:rsidRPr="004C3F2B">
        <w:rPr>
          <w:rFonts w:cs="Times New Roman"/>
        </w:rPr>
        <w:t xml:space="preserve">istih </w:t>
      </w:r>
      <w:r w:rsidRPr="004C3F2B">
        <w:rPr>
          <w:rFonts w:cs="Times New Roman"/>
        </w:rPr>
        <w:t xml:space="preserve">troškova iz druge polovice 2024. godine </w:t>
      </w:r>
      <w:r w:rsidR="004200B9" w:rsidRPr="004C3F2B">
        <w:rPr>
          <w:rFonts w:cs="Times New Roman"/>
        </w:rPr>
        <w:t>(</w:t>
      </w:r>
      <w:r w:rsidRPr="004C3F2B">
        <w:rPr>
          <w:rFonts w:cs="Times New Roman"/>
        </w:rPr>
        <w:t>7.-12. mjeseca 2024. godine</w:t>
      </w:r>
      <w:r w:rsidR="004200B9" w:rsidRPr="004C3F2B">
        <w:rPr>
          <w:rFonts w:cs="Times New Roman"/>
        </w:rPr>
        <w:t>)</w:t>
      </w:r>
      <w:r w:rsidRPr="004C3F2B">
        <w:rPr>
          <w:rFonts w:cs="Times New Roman"/>
        </w:rPr>
        <w:t>. Ovaj trošak nije postojao prijašnjih godina</w:t>
      </w:r>
      <w:r w:rsidR="004200B9" w:rsidRPr="004C3F2B">
        <w:rPr>
          <w:rFonts w:cs="Times New Roman"/>
        </w:rPr>
        <w:t>, stoga su rashodi za ove usluge dovele do ovako velikog povećanja ostvarenja</w:t>
      </w:r>
      <w:r w:rsidRPr="004C3F2B">
        <w:rPr>
          <w:rFonts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1418"/>
        <w:gridCol w:w="1417"/>
        <w:gridCol w:w="1083"/>
      </w:tblGrid>
      <w:tr w:rsidR="008A05FA" w:rsidRPr="004C3F2B" w14:paraId="4636C635" w14:textId="77777777" w:rsidTr="009C4FDE">
        <w:tc>
          <w:tcPr>
            <w:tcW w:w="4106" w:type="dxa"/>
            <w:vAlign w:val="center"/>
          </w:tcPr>
          <w:p w14:paraId="2FE659F1" w14:textId="77777777" w:rsidR="004200B9" w:rsidRPr="004C3F2B" w:rsidRDefault="004200B9" w:rsidP="009C4FD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3F2B">
              <w:rPr>
                <w:rFonts w:cs="Times New Roman"/>
                <w:sz w:val="16"/>
                <w:szCs w:val="16"/>
              </w:rPr>
              <w:t>Opis stavke</w:t>
            </w:r>
          </w:p>
        </w:tc>
        <w:tc>
          <w:tcPr>
            <w:tcW w:w="992" w:type="dxa"/>
            <w:vAlign w:val="center"/>
          </w:tcPr>
          <w:p w14:paraId="33152D4C" w14:textId="77777777" w:rsidR="004200B9" w:rsidRPr="004C3F2B" w:rsidRDefault="004200B9" w:rsidP="009C4FD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3F2B">
              <w:rPr>
                <w:rFonts w:cs="Times New Roman"/>
                <w:sz w:val="16"/>
                <w:szCs w:val="16"/>
              </w:rPr>
              <w:t>Šifra</w:t>
            </w:r>
          </w:p>
        </w:tc>
        <w:tc>
          <w:tcPr>
            <w:tcW w:w="1418" w:type="dxa"/>
            <w:vAlign w:val="center"/>
          </w:tcPr>
          <w:p w14:paraId="4E777FAB" w14:textId="77777777" w:rsidR="004200B9" w:rsidRPr="004C3F2B" w:rsidRDefault="004200B9" w:rsidP="009C4FD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3F2B">
              <w:rPr>
                <w:rFonts w:cs="Times New Roman"/>
                <w:sz w:val="16"/>
                <w:szCs w:val="16"/>
              </w:rPr>
              <w:t>Ostvareno u izvještajnom razdoblju prethodne godine</w:t>
            </w:r>
          </w:p>
        </w:tc>
        <w:tc>
          <w:tcPr>
            <w:tcW w:w="1417" w:type="dxa"/>
            <w:vAlign w:val="center"/>
          </w:tcPr>
          <w:p w14:paraId="5969B2C3" w14:textId="77777777" w:rsidR="004200B9" w:rsidRPr="004C3F2B" w:rsidRDefault="004200B9" w:rsidP="009C4FD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3F2B">
              <w:rPr>
                <w:rFonts w:cs="Times New Roman"/>
                <w:sz w:val="16"/>
                <w:szCs w:val="16"/>
              </w:rPr>
              <w:t>Ostvareno u izvještajnom razdoblju tekuće godine</w:t>
            </w:r>
          </w:p>
        </w:tc>
        <w:tc>
          <w:tcPr>
            <w:tcW w:w="1083" w:type="dxa"/>
            <w:vAlign w:val="center"/>
          </w:tcPr>
          <w:p w14:paraId="46FBD568" w14:textId="77777777" w:rsidR="004200B9" w:rsidRPr="004C3F2B" w:rsidRDefault="004200B9" w:rsidP="009C4FD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C3F2B">
              <w:rPr>
                <w:rFonts w:cs="Times New Roman"/>
                <w:sz w:val="16"/>
                <w:szCs w:val="16"/>
              </w:rPr>
              <w:t>Indeks (%)</w:t>
            </w:r>
          </w:p>
        </w:tc>
      </w:tr>
      <w:tr w:rsidR="008A05FA" w:rsidRPr="004C3F2B" w14:paraId="5305424D" w14:textId="77777777" w:rsidTr="009C4FDE">
        <w:tc>
          <w:tcPr>
            <w:tcW w:w="4106" w:type="dxa"/>
          </w:tcPr>
          <w:p w14:paraId="3E5EA769" w14:textId="02128BCD" w:rsidR="004200B9" w:rsidRPr="004C3F2B" w:rsidRDefault="004200B9" w:rsidP="004200B9">
            <w:pPr>
              <w:jc w:val="both"/>
              <w:rPr>
                <w:rFonts w:cs="Times New Roman"/>
              </w:rPr>
            </w:pPr>
            <w:r w:rsidRPr="004C3F2B">
              <w:rPr>
                <w:rFonts w:cs="Times New Roman"/>
              </w:rPr>
              <w:t>Usluge promidžbe i informiranja</w:t>
            </w:r>
          </w:p>
        </w:tc>
        <w:tc>
          <w:tcPr>
            <w:tcW w:w="992" w:type="dxa"/>
          </w:tcPr>
          <w:p w14:paraId="50493DE9" w14:textId="747FA17F" w:rsidR="004200B9" w:rsidRPr="004C3F2B" w:rsidRDefault="004200B9" w:rsidP="001633F1">
            <w:pPr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</w:rPr>
              <w:t>3233</w:t>
            </w:r>
          </w:p>
        </w:tc>
        <w:tc>
          <w:tcPr>
            <w:tcW w:w="1418" w:type="dxa"/>
          </w:tcPr>
          <w:p w14:paraId="24D8FA86" w14:textId="07BD0F41" w:rsidR="004200B9" w:rsidRPr="004C3F2B" w:rsidRDefault="004200B9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24.659,17</w:t>
            </w:r>
          </w:p>
        </w:tc>
        <w:tc>
          <w:tcPr>
            <w:tcW w:w="1417" w:type="dxa"/>
          </w:tcPr>
          <w:p w14:paraId="330FA938" w14:textId="222499A3" w:rsidR="004200B9" w:rsidRPr="004C3F2B" w:rsidRDefault="004200B9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19.012,99</w:t>
            </w:r>
          </w:p>
        </w:tc>
        <w:tc>
          <w:tcPr>
            <w:tcW w:w="1083" w:type="dxa"/>
          </w:tcPr>
          <w:p w14:paraId="7ADB8835" w14:textId="798599A6" w:rsidR="004200B9" w:rsidRPr="004C3F2B" w:rsidRDefault="004200B9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-22,9</w:t>
            </w:r>
          </w:p>
        </w:tc>
      </w:tr>
      <w:tr w:rsidR="008A05FA" w:rsidRPr="004C3F2B" w14:paraId="56916AD5" w14:textId="77777777" w:rsidTr="009C4FDE">
        <w:tc>
          <w:tcPr>
            <w:tcW w:w="4106" w:type="dxa"/>
          </w:tcPr>
          <w:p w14:paraId="0BCD774A" w14:textId="42A3BD97" w:rsidR="004200B9" w:rsidRPr="004C3F2B" w:rsidRDefault="004200B9" w:rsidP="004200B9">
            <w:pPr>
              <w:jc w:val="both"/>
              <w:rPr>
                <w:rFonts w:cs="Times New Roman"/>
              </w:rPr>
            </w:pPr>
            <w:r w:rsidRPr="004C3F2B">
              <w:rPr>
                <w:rFonts w:cs="Times New Roman"/>
              </w:rPr>
              <w:t>Intelektualne i osobne usluge</w:t>
            </w:r>
          </w:p>
        </w:tc>
        <w:tc>
          <w:tcPr>
            <w:tcW w:w="992" w:type="dxa"/>
          </w:tcPr>
          <w:p w14:paraId="64661A43" w14:textId="71CC6604" w:rsidR="004200B9" w:rsidRPr="004C3F2B" w:rsidRDefault="004200B9" w:rsidP="001633F1">
            <w:pPr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</w:rPr>
              <w:t>3237</w:t>
            </w:r>
          </w:p>
        </w:tc>
        <w:tc>
          <w:tcPr>
            <w:tcW w:w="1418" w:type="dxa"/>
          </w:tcPr>
          <w:p w14:paraId="3C0A6803" w14:textId="4DB393EB" w:rsidR="004200B9" w:rsidRPr="004C3F2B" w:rsidRDefault="004200B9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116.793,59</w:t>
            </w:r>
          </w:p>
        </w:tc>
        <w:tc>
          <w:tcPr>
            <w:tcW w:w="1417" w:type="dxa"/>
          </w:tcPr>
          <w:p w14:paraId="7645159A" w14:textId="635101DC" w:rsidR="004200B9" w:rsidRPr="004C3F2B" w:rsidRDefault="004200B9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32.176,70</w:t>
            </w:r>
          </w:p>
        </w:tc>
        <w:tc>
          <w:tcPr>
            <w:tcW w:w="1083" w:type="dxa"/>
          </w:tcPr>
          <w:p w14:paraId="535A9EF8" w14:textId="4D26FCE5" w:rsidR="004200B9" w:rsidRPr="004C3F2B" w:rsidRDefault="004200B9" w:rsidP="001633F1">
            <w:pPr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</w:rPr>
              <w:t>-72,4</w:t>
            </w:r>
          </w:p>
        </w:tc>
      </w:tr>
    </w:tbl>
    <w:p w14:paraId="762D4F15" w14:textId="77777777" w:rsidR="004200B9" w:rsidRPr="004C3F2B" w:rsidRDefault="004200B9">
      <w:pPr>
        <w:spacing w:line="240" w:lineRule="auto"/>
        <w:jc w:val="both"/>
        <w:rPr>
          <w:rFonts w:cs="Times New Roman"/>
        </w:rPr>
      </w:pPr>
    </w:p>
    <w:p w14:paraId="6F816D66" w14:textId="437D51CE" w:rsidR="00D063A6" w:rsidRPr="004C3F2B" w:rsidRDefault="00E37B7F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Usluge promidžbe i informiranja bilježe značajno smanjenje od 22,9% zbog smanjenj</w:t>
      </w:r>
      <w:r w:rsidR="00A95F8A" w:rsidRPr="004C3F2B">
        <w:rPr>
          <w:rFonts w:cs="Times New Roman"/>
        </w:rPr>
        <w:t>a</w:t>
      </w:r>
      <w:r w:rsidRPr="004C3F2B">
        <w:rPr>
          <w:rFonts w:cs="Times New Roman"/>
        </w:rPr>
        <w:t xml:space="preserve"> troškova promidžbenog materijala u 2025. godini. Intelektualne i osobne usluge bilježe smanjenje od </w:t>
      </w:r>
      <w:r w:rsidR="004200B9" w:rsidRPr="004C3F2B">
        <w:rPr>
          <w:rFonts w:cs="Times New Roman"/>
        </w:rPr>
        <w:t>72,4</w:t>
      </w:r>
      <w:r w:rsidRPr="004C3F2B">
        <w:rPr>
          <w:rFonts w:cs="Times New Roman"/>
        </w:rPr>
        <w:t xml:space="preserve">% jer je u izvještajnom razdoblju prethodne godine nastao trošak izrade stručnih podloga u okviru EU projekta „INNO2MARE“, </w:t>
      </w:r>
      <w:r w:rsidR="004200B9" w:rsidRPr="004C3F2B">
        <w:rPr>
          <w:rFonts w:cs="Times New Roman"/>
        </w:rPr>
        <w:t xml:space="preserve">izradio se glavni projekt za rekonstrukciju zgrade kina u Delnicama, te je unutar projekta PAMETNA REGIJA izrađen VR sadržaj. </w:t>
      </w:r>
      <w:r w:rsidR="00860AD0" w:rsidRPr="004C3F2B">
        <w:rPr>
          <w:rFonts w:cs="Times New Roman"/>
        </w:rPr>
        <w:t>Izvanrednih većih</w:t>
      </w:r>
      <w:r w:rsidR="004200B9" w:rsidRPr="004C3F2B">
        <w:rPr>
          <w:rFonts w:cs="Times New Roman"/>
        </w:rPr>
        <w:t xml:space="preserve"> </w:t>
      </w:r>
      <w:r w:rsidRPr="004C3F2B">
        <w:rPr>
          <w:rFonts w:cs="Times New Roman"/>
        </w:rPr>
        <w:t>trošk</w:t>
      </w:r>
      <w:r w:rsidR="00860AD0" w:rsidRPr="004C3F2B">
        <w:rPr>
          <w:rFonts w:cs="Times New Roman"/>
        </w:rPr>
        <w:t>ova</w:t>
      </w:r>
      <w:r w:rsidRPr="004C3F2B">
        <w:rPr>
          <w:rFonts w:cs="Times New Roman"/>
        </w:rPr>
        <w:t xml:space="preserve"> u tekućem razdoblju nije bilo stoga je ostvarenje značajno niže.</w:t>
      </w:r>
    </w:p>
    <w:p w14:paraId="3BBC7679" w14:textId="4A960DC6" w:rsidR="00CF6D46" w:rsidRPr="004C3F2B" w:rsidRDefault="00000000" w:rsidP="00E37B7F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Iako je ostvareno više rashoda u tekućem izvještajnom razdoblju na većinskom dijelu odjeljaka rashoda za usluge u odnosu na izvještajno razdoblje prethodne godine, značajno smanjenje rashoda za intelektualne i osobne usluge rezultiralo je </w:t>
      </w:r>
      <w:r w:rsidR="00E37B7F" w:rsidRPr="004C3F2B">
        <w:rPr>
          <w:rFonts w:cs="Times New Roman"/>
        </w:rPr>
        <w:t xml:space="preserve">manjim </w:t>
      </w:r>
      <w:r w:rsidRPr="004C3F2B">
        <w:rPr>
          <w:rFonts w:cs="Times New Roman"/>
        </w:rPr>
        <w:t>ostvarenjem</w:t>
      </w:r>
      <w:r w:rsidR="00E37B7F" w:rsidRPr="004C3F2B">
        <w:rPr>
          <w:rFonts w:cs="Times New Roman"/>
        </w:rPr>
        <w:t xml:space="preserve"> od</w:t>
      </w:r>
      <w:r w:rsidRPr="004C3F2B">
        <w:rPr>
          <w:rFonts w:cs="Times New Roman"/>
        </w:rPr>
        <w:t xml:space="preserve"> </w:t>
      </w:r>
      <w:r w:rsidR="00E37B7F" w:rsidRPr="004C3F2B">
        <w:rPr>
          <w:rFonts w:cs="Times New Roman"/>
        </w:rPr>
        <w:t>18,8% u odnosu na izvještajno razdoblje prethodne godine.</w:t>
      </w:r>
    </w:p>
    <w:p w14:paraId="4819C20B" w14:textId="1A2055AF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lastRenderedPageBreak/>
        <w:t>Bilješka 1</w:t>
      </w:r>
      <w:r w:rsidR="00E07FF9">
        <w:rPr>
          <w:rFonts w:cs="Times New Roman"/>
          <w:sz w:val="28"/>
        </w:rPr>
        <w:t>7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6D42B62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60D3E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6D6EA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FD594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1714B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444FB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718E4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6AA763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2A90C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2BF1BA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5212D" w14:textId="77777777" w:rsidR="00CF6D46" w:rsidRPr="004C3F2B" w:rsidRDefault="0000000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65C17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1.064,36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77C6A9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D05E2" w14:textId="77777777" w:rsidR="00CF6D46" w:rsidRPr="004C3F2B" w:rsidRDefault="0000000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0</w:t>
            </w:r>
          </w:p>
        </w:tc>
      </w:tr>
    </w:tbl>
    <w:p w14:paraId="329A5825" w14:textId="77777777" w:rsidR="00CF6D46" w:rsidRPr="004C3F2B" w:rsidRDefault="00CF6D46">
      <w:pPr>
        <w:spacing w:after="0"/>
        <w:rPr>
          <w:rFonts w:cs="Times New Roman"/>
        </w:rPr>
      </w:pPr>
    </w:p>
    <w:p w14:paraId="663459FB" w14:textId="77777777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Naknada troškova osobama izvan radnog odnosa u tekućem izvještajnom razdoblju nije bilo, dok je u izvještajnom razdoblju prethodne godine ostvareno u visini 1.064,36 eura u okviru projekta CARRER GARDEN.</w:t>
      </w:r>
    </w:p>
    <w:p w14:paraId="016CEA86" w14:textId="77777777" w:rsidR="00CF6D46" w:rsidRPr="004C3F2B" w:rsidRDefault="00CF6D46">
      <w:pPr>
        <w:rPr>
          <w:rFonts w:cs="Times New Roman"/>
        </w:rPr>
      </w:pPr>
    </w:p>
    <w:p w14:paraId="4A6DBF37" w14:textId="0D5C30B3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1</w:t>
      </w:r>
      <w:r w:rsidR="00E07FF9">
        <w:rPr>
          <w:rFonts w:cs="Times New Roman"/>
          <w:sz w:val="28"/>
        </w:rPr>
        <w:t>8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4881789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D8515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775B6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B7CFE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6E6C0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F42B9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F670F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741BFE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C70BB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7D8608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BC169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87D78D" w14:textId="3AF00798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22.371,07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5002F" w14:textId="7273708E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24.308,62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4DB40" w14:textId="3028F869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108,7</w:t>
            </w:r>
          </w:p>
        </w:tc>
      </w:tr>
    </w:tbl>
    <w:p w14:paraId="70FA2700" w14:textId="77777777" w:rsidR="00CF6D46" w:rsidRPr="004C3F2B" w:rsidRDefault="00CF6D46">
      <w:pPr>
        <w:spacing w:after="0"/>
        <w:rPr>
          <w:rFonts w:cs="Times New Roman"/>
        </w:rPr>
      </w:pPr>
    </w:p>
    <w:p w14:paraId="47B71686" w14:textId="642470F8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Ostali nespomenuti rashodi poslovanja bilježe povećanja od </w:t>
      </w:r>
      <w:r w:rsidR="00B81151" w:rsidRPr="004C3F2B">
        <w:rPr>
          <w:rFonts w:cs="Times New Roman"/>
        </w:rPr>
        <w:t>8,7</w:t>
      </w:r>
      <w:r w:rsidRPr="004C3F2B">
        <w:rPr>
          <w:rFonts w:cs="Times New Roman"/>
        </w:rPr>
        <w:t>%. Povećanje je proizašlo iz povećanih rashoda za članarine i norme i pristojbe i naknade. Porast troškova članarina i normi od 95,8% je uslijed plaćanja godišnje članarine Europskom udruženju regionalnih koordinatora – EURADA, čiji je član Regionalna razvojna agencija Primorsko - goranske županije postala u drugoj polovici 2024. godine. Troškovi pristojbi i naknada također bilježe značajno povećanje</w:t>
      </w:r>
      <w:r w:rsidR="00A1393D" w:rsidRPr="004C3F2B">
        <w:rPr>
          <w:rFonts w:cs="Times New Roman"/>
        </w:rPr>
        <w:t xml:space="preserve"> od 85,6%</w:t>
      </w:r>
      <w:r w:rsidRPr="004C3F2B">
        <w:rPr>
          <w:rFonts w:cs="Times New Roman"/>
        </w:rPr>
        <w:t xml:space="preserve"> u odnosu na izvještajno razdoblje prethodne godine, zbog obveze plaćanja naknade za nezapošljavanje osoba s invaliditetom u ovom izvještajnom razdoblju</w:t>
      </w:r>
      <w:r w:rsidR="00A1393D" w:rsidRPr="004C3F2B">
        <w:rPr>
          <w:rFonts w:cs="Times New Roman"/>
        </w:rPr>
        <w:t xml:space="preserve">, s obzirom da je prvu polovicu 2025. godine </w:t>
      </w:r>
      <w:r w:rsidR="00F16796" w:rsidRPr="004C3F2B">
        <w:rPr>
          <w:rFonts w:cs="Times New Roman"/>
        </w:rPr>
        <w:t>agencija</w:t>
      </w:r>
      <w:r w:rsidR="009A14A8" w:rsidRPr="004C3F2B">
        <w:rPr>
          <w:rFonts w:cs="Times New Roman"/>
        </w:rPr>
        <w:t xml:space="preserve"> </w:t>
      </w:r>
      <w:r w:rsidR="00A1393D" w:rsidRPr="004C3F2B">
        <w:rPr>
          <w:rFonts w:cs="Times New Roman"/>
        </w:rPr>
        <w:t>imala 20 zaposlenih</w:t>
      </w:r>
      <w:r w:rsidRPr="004C3F2B">
        <w:rPr>
          <w:rFonts w:cs="Times New Roman"/>
        </w:rPr>
        <w:t>.</w:t>
      </w:r>
    </w:p>
    <w:p w14:paraId="55E7DF55" w14:textId="77777777" w:rsidR="00CF6D46" w:rsidRPr="004C3F2B" w:rsidRDefault="00CF6D46">
      <w:pPr>
        <w:rPr>
          <w:rFonts w:cs="Times New Roman"/>
        </w:rPr>
      </w:pPr>
    </w:p>
    <w:p w14:paraId="3B6F92C0" w14:textId="09ED9D30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1</w:t>
      </w:r>
      <w:r w:rsidR="00AF1591">
        <w:rPr>
          <w:rFonts w:cs="Times New Roman"/>
          <w:sz w:val="28"/>
        </w:rPr>
        <w:t>9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39D89F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DA58B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49E83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1D956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B9899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A160D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CBCEC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1BA449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C9FD6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3CAB82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C811A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1AB59" w14:textId="4CD07AB7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710,94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73433" w14:textId="30E0AA7B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322,35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A4B37" w14:textId="2EB6811C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45,3</w:t>
            </w:r>
          </w:p>
        </w:tc>
      </w:tr>
    </w:tbl>
    <w:p w14:paraId="08AF5E78" w14:textId="77777777" w:rsidR="00CF6D46" w:rsidRPr="004C3F2B" w:rsidRDefault="00CF6D46">
      <w:pPr>
        <w:spacing w:after="0"/>
        <w:rPr>
          <w:rFonts w:cs="Times New Roman"/>
        </w:rPr>
      </w:pPr>
    </w:p>
    <w:p w14:paraId="4AC7C8C8" w14:textId="5A9D22E4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Ostali financijski rashodi sastoje se od bankarskih usluga i usluga platnog prometa u iznosu </w:t>
      </w:r>
      <w:r w:rsidR="00A1393D" w:rsidRPr="004C3F2B">
        <w:rPr>
          <w:rFonts w:cs="Times New Roman"/>
        </w:rPr>
        <w:t xml:space="preserve">320,85 </w:t>
      </w:r>
      <w:r w:rsidRPr="004C3F2B">
        <w:rPr>
          <w:rFonts w:cs="Times New Roman"/>
        </w:rPr>
        <w:t>eura i zatezne kamate u iznosu 1,50 eura te bilježe značajno smanjenje zbog procesa prelaska proračunskog korisnika na jedinstveni račun proračuna. Smanjenje je rezultat manjeg broja transakcija po žiro računu, pa samim time i nižim naknadama za bankarske usluge i usluge platnog prometa.</w:t>
      </w:r>
    </w:p>
    <w:p w14:paraId="6D6E7A6B" w14:textId="77777777" w:rsidR="00CF6D46" w:rsidRPr="004C3F2B" w:rsidRDefault="00CF6D46">
      <w:pPr>
        <w:rPr>
          <w:rFonts w:cs="Times New Roman"/>
        </w:rPr>
      </w:pPr>
    </w:p>
    <w:p w14:paraId="425B4BF0" w14:textId="3CE8AEFF" w:rsidR="00CF6D46" w:rsidRPr="004C3F2B" w:rsidRDefault="0000000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lastRenderedPageBreak/>
        <w:t xml:space="preserve">Bilješka </w:t>
      </w:r>
      <w:r w:rsidR="00AF1591">
        <w:rPr>
          <w:rFonts w:cs="Times New Roman"/>
          <w:sz w:val="28"/>
        </w:rPr>
        <w:t>20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51BFD0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D13C6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C67C0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4FBE7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0ADE1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B45DE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400CE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31A24D6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48423" w14:textId="084FDCAE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3E1B05" w14:textId="58930930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F3C4C" w14:textId="3CA5339E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91343" w14:textId="05B280F9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4E182" w14:textId="2A407BD3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4.032,50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C0ED7" w14:textId="2013E39F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14:paraId="3A807FEC" w14:textId="77777777" w:rsidR="00CF6D46" w:rsidRPr="004C3F2B" w:rsidRDefault="00CF6D46">
      <w:pPr>
        <w:spacing w:after="0"/>
        <w:rPr>
          <w:rFonts w:cs="Times New Roman"/>
        </w:rPr>
      </w:pPr>
    </w:p>
    <w:p w14:paraId="63BE7FB8" w14:textId="0DC5FC11" w:rsidR="00A1393D" w:rsidRPr="004C3F2B" w:rsidRDefault="00A1393D" w:rsidP="00A1393D">
      <w:pPr>
        <w:keepNext/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Obračunati prihodi poslovanja nenaplaćeni odnose se na obračunate pomoći iz inozemstva točnije obračunati prihod po završnom izviješću projekta BUSINESS GO VIRAL u iznosu 4.032,50 eura. </w:t>
      </w:r>
    </w:p>
    <w:p w14:paraId="1E369382" w14:textId="77777777" w:rsidR="00A1393D" w:rsidRPr="004C3F2B" w:rsidRDefault="00A1393D" w:rsidP="00A1393D">
      <w:pPr>
        <w:spacing w:line="240" w:lineRule="auto"/>
        <w:jc w:val="both"/>
        <w:rPr>
          <w:rFonts w:cs="Times New Roman"/>
        </w:rPr>
      </w:pPr>
    </w:p>
    <w:p w14:paraId="6F82991E" w14:textId="7C721C2A" w:rsidR="00E677AC" w:rsidRPr="004C3F2B" w:rsidRDefault="00E677AC" w:rsidP="00E677AC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2</w:t>
      </w:r>
      <w:r w:rsidR="00AF1591">
        <w:rPr>
          <w:rFonts w:cs="Times New Roman"/>
          <w:sz w:val="28"/>
        </w:rPr>
        <w:t>1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06B60851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913F5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F3B74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89361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AC7FB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6B68F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665A3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73B36CDD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9C6B3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F86824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FFFE1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80333" w14:textId="505842BC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3.130,40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F98AA" w14:textId="0A00261E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5.210,25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08322" w14:textId="4E25F238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166,4</w:t>
            </w:r>
          </w:p>
        </w:tc>
      </w:tr>
    </w:tbl>
    <w:p w14:paraId="45645F5C" w14:textId="77777777" w:rsidR="00E677AC" w:rsidRPr="004C3F2B" w:rsidRDefault="00E677AC" w:rsidP="00E677AC">
      <w:pPr>
        <w:spacing w:after="0"/>
        <w:rPr>
          <w:rFonts w:cs="Times New Roman"/>
        </w:rPr>
      </w:pPr>
    </w:p>
    <w:p w14:paraId="330FB8B6" w14:textId="28014898" w:rsidR="00CF6D46" w:rsidRPr="004C3F2B" w:rsidRDefault="00E677AC" w:rsidP="0015584F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U tekućem izvještajnom razdoblju </w:t>
      </w:r>
      <w:r w:rsidR="00A1393D" w:rsidRPr="004C3F2B">
        <w:rPr>
          <w:rFonts w:cs="Times New Roman"/>
        </w:rPr>
        <w:t xml:space="preserve">iz prihoda iz nadležnog proračuna </w:t>
      </w:r>
      <w:r w:rsidRPr="004C3F2B">
        <w:rPr>
          <w:rFonts w:cs="Times New Roman"/>
        </w:rPr>
        <w:t xml:space="preserve">nabavljen je </w:t>
      </w:r>
      <w:bookmarkStart w:id="0" w:name="_Hlk220134365"/>
      <w:r w:rsidRPr="004C3F2B">
        <w:rPr>
          <w:rFonts w:cs="Times New Roman"/>
        </w:rPr>
        <w:t>n</w:t>
      </w:r>
      <w:r w:rsidR="00A1393D" w:rsidRPr="004C3F2B">
        <w:rPr>
          <w:rFonts w:cs="Times New Roman"/>
        </w:rPr>
        <w:t>ovi</w:t>
      </w:r>
      <w:r w:rsidRPr="004C3F2B">
        <w:rPr>
          <w:rFonts w:cs="Times New Roman"/>
        </w:rPr>
        <w:t xml:space="preserve"> </w:t>
      </w:r>
      <w:r w:rsidR="00A1393D" w:rsidRPr="004C3F2B">
        <w:rPr>
          <w:rFonts w:cs="Times New Roman"/>
        </w:rPr>
        <w:t>uredski namještaj, računalo s operativnim sustavom i printer</w:t>
      </w:r>
      <w:bookmarkEnd w:id="0"/>
      <w:r w:rsidR="00A1393D" w:rsidRPr="004C3F2B">
        <w:rPr>
          <w:rFonts w:cs="Times New Roman"/>
        </w:rPr>
        <w:t xml:space="preserve"> te je iz proračuna </w:t>
      </w:r>
      <w:proofErr w:type="spellStart"/>
      <w:r w:rsidR="00A1393D" w:rsidRPr="004C3F2B">
        <w:rPr>
          <w:rFonts w:cs="Times New Roman"/>
        </w:rPr>
        <w:t>predfinancirana</w:t>
      </w:r>
      <w:proofErr w:type="spellEnd"/>
      <w:r w:rsidR="00A1393D" w:rsidRPr="004C3F2B">
        <w:rPr>
          <w:rFonts w:cs="Times New Roman"/>
        </w:rPr>
        <w:t xml:space="preserve"> i manjim dijelom financirana nabava </w:t>
      </w:r>
      <w:bookmarkStart w:id="1" w:name="_Hlk220134387"/>
      <w:r w:rsidR="00A1393D" w:rsidRPr="004C3F2B">
        <w:rPr>
          <w:rFonts w:cs="Times New Roman"/>
        </w:rPr>
        <w:t xml:space="preserve">VR naočala </w:t>
      </w:r>
      <w:bookmarkEnd w:id="1"/>
      <w:r w:rsidR="00A1393D" w:rsidRPr="004C3F2B">
        <w:rPr>
          <w:rFonts w:cs="Times New Roman"/>
        </w:rPr>
        <w:t>unutar novog projekta agencije Š(K)OLA 5.0.</w:t>
      </w:r>
      <w:r w:rsidRPr="004C3F2B">
        <w:rPr>
          <w:rFonts w:cs="Times New Roman"/>
        </w:rPr>
        <w:t xml:space="preserve"> </w:t>
      </w:r>
      <w:r w:rsidR="00A1393D" w:rsidRPr="004C3F2B">
        <w:rPr>
          <w:rFonts w:cs="Times New Roman"/>
        </w:rPr>
        <w:t xml:space="preserve">U izvještajnom razdoblju </w:t>
      </w:r>
      <w:r w:rsidR="0015584F" w:rsidRPr="004C3F2B">
        <w:rPr>
          <w:rFonts w:cs="Times New Roman"/>
        </w:rPr>
        <w:t>prethodne godine nabavljen je samo uredski namještaj što je rezultiralo povećanjem od 66,4% u izvještajnom razdoblju tekuće godine.</w:t>
      </w:r>
    </w:p>
    <w:p w14:paraId="7D2DEDC3" w14:textId="6EB6706F" w:rsidR="00CF6D46" w:rsidRPr="004C3F2B" w:rsidRDefault="0015584F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2</w:t>
      </w:r>
      <w:r w:rsidR="00AF1591">
        <w:rPr>
          <w:rFonts w:cs="Times New Roman"/>
          <w:sz w:val="28"/>
        </w:rPr>
        <w:t>2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3632C7C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75543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EDC42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49F8D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9BA51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D83F3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BE8E6" w14:textId="77777777" w:rsidR="00CF6D46" w:rsidRPr="004C3F2B" w:rsidRDefault="00000000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3DFD8D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6D976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71583C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2E3DD" w14:textId="77777777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C8EF9" w14:textId="102EBFEC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241.117,34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59956" w14:textId="596B8EE5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83887" w14:textId="0F25302E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0,0</w:t>
            </w:r>
          </w:p>
        </w:tc>
      </w:tr>
    </w:tbl>
    <w:p w14:paraId="432673B9" w14:textId="77777777" w:rsidR="00CF6D46" w:rsidRPr="004C3F2B" w:rsidRDefault="00CF6D46">
      <w:pPr>
        <w:spacing w:after="0"/>
        <w:rPr>
          <w:rFonts w:cs="Times New Roman"/>
        </w:rPr>
      </w:pPr>
    </w:p>
    <w:p w14:paraId="353248BD" w14:textId="2072CEA4" w:rsidR="00CF6D46" w:rsidRPr="004C3F2B" w:rsidRDefault="0000000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Stanje novčanih sredstava na kraju izvještajnog razdoblja iznosi </w:t>
      </w:r>
      <w:r w:rsidR="0015584F" w:rsidRPr="004C3F2B">
        <w:rPr>
          <w:rFonts w:cs="Times New Roman"/>
        </w:rPr>
        <w:t>0,00</w:t>
      </w:r>
      <w:r w:rsidRPr="004C3F2B">
        <w:rPr>
          <w:rFonts w:cs="Times New Roman"/>
        </w:rPr>
        <w:t xml:space="preserve"> eur</w:t>
      </w:r>
      <w:r w:rsidR="0015584F" w:rsidRPr="004C3F2B">
        <w:rPr>
          <w:rFonts w:cs="Times New Roman"/>
        </w:rPr>
        <w:t>a</w:t>
      </w:r>
      <w:r w:rsidRPr="004C3F2B">
        <w:rPr>
          <w:rFonts w:cs="Times New Roman"/>
        </w:rPr>
        <w:t xml:space="preserve"> i značajno je manje u odnosu na izvještajno razdoblje prethodne godine zbog procesa prelaska proračunskog korisnika na jedinstveni račun proračuna i prijenosa novčanih sredstava na račun Primorsko-goranske županije</w:t>
      </w:r>
      <w:r w:rsidR="0015584F" w:rsidRPr="004C3F2B">
        <w:rPr>
          <w:rFonts w:cs="Times New Roman"/>
        </w:rPr>
        <w:t>.</w:t>
      </w:r>
    </w:p>
    <w:p w14:paraId="6C6EAB18" w14:textId="406BCCA4" w:rsidR="00FA5FFA" w:rsidRPr="004C3F2B" w:rsidRDefault="00FA5FFA" w:rsidP="00FA5FFA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b/>
          <w:sz w:val="28"/>
        </w:rPr>
        <w:t xml:space="preserve">Izvještaj </w:t>
      </w:r>
      <w:r w:rsidR="00E677AC" w:rsidRPr="004C3F2B">
        <w:rPr>
          <w:rFonts w:cs="Times New Roman"/>
          <w:b/>
          <w:sz w:val="28"/>
        </w:rPr>
        <w:t>Bilanca</w:t>
      </w:r>
    </w:p>
    <w:p w14:paraId="3B501881" w14:textId="77777777" w:rsidR="00EE40C6" w:rsidRPr="004C3F2B" w:rsidRDefault="00EE40C6" w:rsidP="00E677AC">
      <w:pPr>
        <w:spacing w:line="240" w:lineRule="auto"/>
        <w:jc w:val="both"/>
        <w:rPr>
          <w:rFonts w:cs="Times New Roman"/>
        </w:rPr>
      </w:pPr>
    </w:p>
    <w:p w14:paraId="7BDFCC20" w14:textId="1A16909C" w:rsidR="00EE40C6" w:rsidRPr="004C3F2B" w:rsidRDefault="00EE40C6" w:rsidP="00EE40C6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2</w:t>
      </w:r>
      <w:r w:rsidR="00AF1591">
        <w:rPr>
          <w:rFonts w:cs="Times New Roman"/>
          <w:sz w:val="28"/>
        </w:rPr>
        <w:t>3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59389FBF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6E1E8" w14:textId="77777777" w:rsidR="00EE40C6" w:rsidRPr="004C3F2B" w:rsidRDefault="00EE40C6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56BE7" w14:textId="77777777" w:rsidR="00EE40C6" w:rsidRPr="004C3F2B" w:rsidRDefault="00EE40C6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968F7" w14:textId="77777777" w:rsidR="00EE40C6" w:rsidRPr="004C3F2B" w:rsidRDefault="00EE40C6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CA2B9" w14:textId="77777777" w:rsidR="00EE40C6" w:rsidRPr="004C3F2B" w:rsidRDefault="00EE40C6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B68A0" w14:textId="77777777" w:rsidR="00EE40C6" w:rsidRPr="004C3F2B" w:rsidRDefault="00EE40C6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99EA9" w14:textId="77777777" w:rsidR="00EE40C6" w:rsidRPr="004C3F2B" w:rsidRDefault="00EE40C6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32359677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54105" w14:textId="77777777" w:rsidR="00EE40C6" w:rsidRPr="004C3F2B" w:rsidRDefault="00EE40C6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AC4678" w14:textId="77777777" w:rsidR="00EE40C6" w:rsidRPr="004C3F2B" w:rsidRDefault="00EE40C6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82190" w14:textId="77777777" w:rsidR="00EE40C6" w:rsidRPr="004C3F2B" w:rsidRDefault="00EE40C6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C8574" w14:textId="77777777" w:rsidR="00EE40C6" w:rsidRPr="004C3F2B" w:rsidRDefault="00EE40C6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13.920,74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87B98" w14:textId="77777777" w:rsidR="00EE40C6" w:rsidRPr="004C3F2B" w:rsidRDefault="00EE40C6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14.953,98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A68DD" w14:textId="77777777" w:rsidR="00EE40C6" w:rsidRPr="004C3F2B" w:rsidRDefault="00EE40C6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107,4</w:t>
            </w:r>
          </w:p>
        </w:tc>
      </w:tr>
    </w:tbl>
    <w:p w14:paraId="4CDA2534" w14:textId="77777777" w:rsidR="00EE40C6" w:rsidRPr="004C3F2B" w:rsidRDefault="00EE40C6" w:rsidP="00EE40C6">
      <w:pPr>
        <w:spacing w:line="240" w:lineRule="auto"/>
        <w:jc w:val="both"/>
        <w:rPr>
          <w:rFonts w:cs="Times New Roman"/>
        </w:rPr>
      </w:pPr>
    </w:p>
    <w:p w14:paraId="67D20ACA" w14:textId="1DAD0C4F" w:rsidR="00EE40C6" w:rsidRPr="004C3F2B" w:rsidRDefault="00EE40C6" w:rsidP="00EE40C6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lastRenderedPageBreak/>
        <w:t>Nefinancijska imovina bilježi povećanje od 7,4%. Povećanje je istovjetno povećanju proizvedene dugotrajne imovine, jer je tijekom izvještajnog razdoblja nabavljen</w:t>
      </w:r>
      <w:r w:rsidR="00F16796" w:rsidRPr="004C3F2B">
        <w:rPr>
          <w:rFonts w:cs="Times New Roman"/>
        </w:rPr>
        <w:t>a</w:t>
      </w:r>
      <w:r w:rsidRPr="004C3F2B">
        <w:rPr>
          <w:rFonts w:cs="Times New Roman"/>
        </w:rPr>
        <w:t xml:space="preserve"> </w:t>
      </w:r>
      <w:r w:rsidR="0051022E" w:rsidRPr="004C3F2B">
        <w:rPr>
          <w:rFonts w:cs="Times New Roman"/>
        </w:rPr>
        <w:t>dugotrajn</w:t>
      </w:r>
      <w:r w:rsidR="00F16796" w:rsidRPr="004C3F2B">
        <w:rPr>
          <w:rFonts w:cs="Times New Roman"/>
        </w:rPr>
        <w:t>a</w:t>
      </w:r>
      <w:r w:rsidR="0051022E" w:rsidRPr="004C3F2B">
        <w:rPr>
          <w:rFonts w:cs="Times New Roman"/>
        </w:rPr>
        <w:t xml:space="preserve"> imovin</w:t>
      </w:r>
      <w:r w:rsidR="00F16796" w:rsidRPr="004C3F2B">
        <w:rPr>
          <w:rFonts w:cs="Times New Roman"/>
        </w:rPr>
        <w:t>a</w:t>
      </w:r>
      <w:r w:rsidR="0051022E" w:rsidRPr="004C3F2B">
        <w:rPr>
          <w:rFonts w:cs="Times New Roman"/>
        </w:rPr>
        <w:t xml:space="preserve"> u vrijednosti 5.210,25 eura</w:t>
      </w:r>
      <w:r w:rsidR="009F6C2C" w:rsidRPr="004C3F2B">
        <w:rPr>
          <w:rFonts w:cs="Times New Roman"/>
        </w:rPr>
        <w:t xml:space="preserve"> (uredski namještaj, računalo s operativnim sustavom i printer te VR naočale)</w:t>
      </w:r>
      <w:r w:rsidR="0051022E" w:rsidRPr="004C3F2B">
        <w:rPr>
          <w:rFonts w:cs="Times New Roman"/>
        </w:rPr>
        <w:t xml:space="preserve">, dok je ispravak </w:t>
      </w:r>
      <w:r w:rsidR="00CA18F7" w:rsidRPr="004C3F2B">
        <w:rPr>
          <w:rFonts w:cs="Times New Roman"/>
        </w:rPr>
        <w:t xml:space="preserve">postrojenja i opreme nešto niži od vrijednosti nabavljene imovine. U izvještajnom periodu napravljena je zamjena </w:t>
      </w:r>
      <w:proofErr w:type="spellStart"/>
      <w:r w:rsidR="00CA18F7" w:rsidRPr="004C3F2B">
        <w:rPr>
          <w:rFonts w:cs="Times New Roman"/>
        </w:rPr>
        <w:t>autoguma</w:t>
      </w:r>
      <w:proofErr w:type="spellEnd"/>
      <w:r w:rsidR="00CA18F7" w:rsidRPr="004C3F2B">
        <w:rPr>
          <w:rFonts w:cs="Times New Roman"/>
        </w:rPr>
        <w:t xml:space="preserve"> te sitni inventar i </w:t>
      </w:r>
      <w:proofErr w:type="spellStart"/>
      <w:r w:rsidR="00CA18F7" w:rsidRPr="004C3F2B">
        <w:rPr>
          <w:rFonts w:cs="Times New Roman"/>
        </w:rPr>
        <w:t>autogume</w:t>
      </w:r>
      <w:proofErr w:type="spellEnd"/>
      <w:r w:rsidR="00CA18F7" w:rsidRPr="004C3F2B">
        <w:rPr>
          <w:rFonts w:cs="Times New Roman"/>
        </w:rPr>
        <w:t xml:space="preserve"> iznose 2.218,84 eura i ne bilježe znatno povećanje.</w:t>
      </w:r>
    </w:p>
    <w:p w14:paraId="5BD5DDA6" w14:textId="77777777" w:rsidR="00E677AC" w:rsidRPr="004C3F2B" w:rsidRDefault="00E677AC" w:rsidP="00E677AC">
      <w:pPr>
        <w:spacing w:line="240" w:lineRule="auto"/>
        <w:jc w:val="both"/>
        <w:rPr>
          <w:rFonts w:cs="Times New Roman"/>
        </w:rPr>
      </w:pPr>
    </w:p>
    <w:p w14:paraId="3B875F2F" w14:textId="2BDA1174" w:rsidR="00E677AC" w:rsidRPr="004C3F2B" w:rsidRDefault="00E677AC" w:rsidP="00E677AC">
      <w:pPr>
        <w:keepNext/>
        <w:spacing w:line="240" w:lineRule="auto"/>
        <w:jc w:val="center"/>
        <w:rPr>
          <w:rFonts w:cs="Times New Roman"/>
        </w:rPr>
      </w:pPr>
      <w:r w:rsidRPr="00AF1591">
        <w:rPr>
          <w:rFonts w:cs="Times New Roman"/>
          <w:sz w:val="28"/>
        </w:rPr>
        <w:t>Bilješka 2</w:t>
      </w:r>
      <w:r w:rsidR="00AF1591">
        <w:rPr>
          <w:rFonts w:cs="Times New Roman"/>
          <w:sz w:val="28"/>
        </w:rPr>
        <w:t>4</w:t>
      </w:r>
      <w:r w:rsidRPr="00AF1591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212372E1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B5D93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19F86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1D0B0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FD744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211C3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03950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0E13541E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AD9C8" w14:textId="2F5F24E5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1C8C4" w14:textId="4419A743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FCB64" w14:textId="5B71D4F3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A7A0A" w14:textId="4E097789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299.248,26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8D31B" w14:textId="31D8EF41" w:rsidR="00E677AC" w:rsidRPr="004C3F2B" w:rsidRDefault="002A797E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43.634,02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7AE36" w14:textId="695B779F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14,</w:t>
            </w:r>
            <w:r w:rsidR="002A797E" w:rsidRPr="004C3F2B">
              <w:rPr>
                <w:rFonts w:cs="Times New Roman"/>
                <w:sz w:val="16"/>
                <w:szCs w:val="16"/>
              </w:rPr>
              <w:t>6</w:t>
            </w:r>
          </w:p>
        </w:tc>
      </w:tr>
    </w:tbl>
    <w:p w14:paraId="7BE60ABF" w14:textId="77777777" w:rsidR="00494DA9" w:rsidRPr="004C3F2B" w:rsidRDefault="00494DA9" w:rsidP="00E677AC">
      <w:pPr>
        <w:spacing w:line="240" w:lineRule="auto"/>
        <w:jc w:val="both"/>
        <w:rPr>
          <w:rFonts w:cs="Times New Roman"/>
        </w:rPr>
      </w:pPr>
    </w:p>
    <w:p w14:paraId="4AD55E38" w14:textId="74A48D06" w:rsidR="001A53F3" w:rsidRPr="004C3F2B" w:rsidRDefault="00494DA9" w:rsidP="00E677AC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Financijska imovina bilježi znatno smanjenje od 85,</w:t>
      </w:r>
      <w:r w:rsidR="002A797E" w:rsidRPr="004C3F2B">
        <w:rPr>
          <w:rFonts w:cs="Times New Roman"/>
        </w:rPr>
        <w:t>4</w:t>
      </w:r>
      <w:r w:rsidRPr="004C3F2B">
        <w:rPr>
          <w:rFonts w:cs="Times New Roman"/>
        </w:rPr>
        <w:t>% zbog smanjenj</w:t>
      </w:r>
      <w:r w:rsidR="00F16796" w:rsidRPr="004C3F2B">
        <w:rPr>
          <w:rFonts w:cs="Times New Roman"/>
        </w:rPr>
        <w:t>a</w:t>
      </w:r>
      <w:r w:rsidRPr="004C3F2B">
        <w:rPr>
          <w:rFonts w:cs="Times New Roman"/>
        </w:rPr>
        <w:t xml:space="preserve"> stanja novčanih sredstava koja su se sastojala od doznačenih sredstava za EU projekte, a koja su namjenski utrošena tijekom 2025. godine. Iznos financijske imovine na 31. prosinca većinskim dijelom odnosi se na preostala sredstva za projekt INNO2MARE koja će biti utrošena u narednom periodu.</w:t>
      </w:r>
    </w:p>
    <w:p w14:paraId="1B1FEB82" w14:textId="77777777" w:rsidR="00462E3B" w:rsidRPr="004C3F2B" w:rsidRDefault="00462E3B" w:rsidP="00E677AC">
      <w:pPr>
        <w:keepNext/>
        <w:spacing w:line="240" w:lineRule="auto"/>
        <w:jc w:val="center"/>
        <w:rPr>
          <w:rFonts w:cs="Times New Roman"/>
          <w:sz w:val="28"/>
        </w:rPr>
      </w:pPr>
    </w:p>
    <w:p w14:paraId="30C08BA0" w14:textId="0C5B5D62" w:rsidR="00E677AC" w:rsidRPr="004C3F2B" w:rsidRDefault="00E677AC" w:rsidP="00E677AC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2</w:t>
      </w:r>
      <w:r w:rsidR="00AF1591">
        <w:rPr>
          <w:rFonts w:cs="Times New Roman"/>
          <w:sz w:val="28"/>
        </w:rPr>
        <w:t>5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43E64D1D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9506A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EE3CD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5FB87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F2B88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5D0CE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844DB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07F680E9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93D47" w14:textId="4242A5A3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20D4A3" w14:textId="57A107BA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A5731" w14:textId="700DBE40" w:rsidR="00E677AC" w:rsidRPr="004C3F2B" w:rsidRDefault="00E677AC" w:rsidP="00E677AC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FD4CF" w14:textId="2B9FC16A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241.117,34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3D328" w14:textId="5426551F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0,00 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863BA" w14:textId="3602F2E0" w:rsidR="00E677AC" w:rsidRPr="004C3F2B" w:rsidRDefault="00E677AC" w:rsidP="00E677AC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0,0</w:t>
            </w:r>
          </w:p>
        </w:tc>
      </w:tr>
    </w:tbl>
    <w:p w14:paraId="16BC0FD0" w14:textId="77777777" w:rsidR="00E677AC" w:rsidRPr="004C3F2B" w:rsidRDefault="00E677AC" w:rsidP="00E677AC">
      <w:pPr>
        <w:spacing w:line="240" w:lineRule="auto"/>
        <w:jc w:val="both"/>
        <w:rPr>
          <w:rFonts w:cs="Times New Roman"/>
        </w:rPr>
      </w:pPr>
    </w:p>
    <w:p w14:paraId="47B755A2" w14:textId="62C9BCBD" w:rsidR="00E677AC" w:rsidRPr="004C3F2B" w:rsidRDefault="00E677AC" w:rsidP="00E677AC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Stanje novčanih sredstava na kraju izvještajnog razdoblja iznosi </w:t>
      </w:r>
      <w:r w:rsidR="00CA18F7" w:rsidRPr="004C3F2B">
        <w:rPr>
          <w:rFonts w:cs="Times New Roman"/>
        </w:rPr>
        <w:t>0</w:t>
      </w:r>
      <w:r w:rsidR="00495549" w:rsidRPr="004C3F2B">
        <w:rPr>
          <w:rFonts w:cs="Times New Roman"/>
        </w:rPr>
        <w:t>,00</w:t>
      </w:r>
      <w:r w:rsidRPr="004C3F2B">
        <w:rPr>
          <w:rFonts w:cs="Times New Roman"/>
        </w:rPr>
        <w:t xml:space="preserve"> eur</w:t>
      </w:r>
      <w:r w:rsidR="00CA18F7" w:rsidRPr="004C3F2B">
        <w:rPr>
          <w:rFonts w:cs="Times New Roman"/>
        </w:rPr>
        <w:t>a</w:t>
      </w:r>
      <w:r w:rsidRPr="004C3F2B">
        <w:rPr>
          <w:rFonts w:cs="Times New Roman"/>
        </w:rPr>
        <w:t xml:space="preserve"> i značajno je manje u odnosu na izvještajno razdoblje prethodne godine zbog procesa prelaska proračunskog korisnika na jedinstveni račun proračuna i prijenosa novčanih sredstava na račun Primorsko-goranske županije.</w:t>
      </w:r>
    </w:p>
    <w:p w14:paraId="4045B702" w14:textId="0D0BC49C" w:rsidR="002A797E" w:rsidRPr="004C3F2B" w:rsidRDefault="002A797E" w:rsidP="002A797E">
      <w:pPr>
        <w:keepNext/>
        <w:spacing w:line="240" w:lineRule="auto"/>
        <w:jc w:val="center"/>
        <w:rPr>
          <w:rFonts w:cs="Times New Roman"/>
        </w:rPr>
      </w:pPr>
      <w:r w:rsidRPr="00AF1591">
        <w:rPr>
          <w:rFonts w:cs="Times New Roman"/>
          <w:sz w:val="28"/>
        </w:rPr>
        <w:t>Bilješka 2</w:t>
      </w:r>
      <w:r w:rsidR="00AF1591">
        <w:rPr>
          <w:rFonts w:cs="Times New Roman"/>
          <w:sz w:val="28"/>
        </w:rPr>
        <w:t>6</w:t>
      </w:r>
      <w:r w:rsidRPr="00AF1591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A797E" w:rsidRPr="004C3F2B" w14:paraId="3C84A59E" w14:textId="77777777" w:rsidTr="00C2432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A9042" w14:textId="77777777" w:rsidR="002A797E" w:rsidRPr="004C3F2B" w:rsidRDefault="002A797E" w:rsidP="00C24324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D0739" w14:textId="77777777" w:rsidR="002A797E" w:rsidRPr="004C3F2B" w:rsidRDefault="002A797E" w:rsidP="00C24324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AE7FA" w14:textId="77777777" w:rsidR="002A797E" w:rsidRPr="004C3F2B" w:rsidRDefault="002A797E" w:rsidP="00C24324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24C98" w14:textId="77777777" w:rsidR="002A797E" w:rsidRPr="004C3F2B" w:rsidRDefault="002A797E" w:rsidP="00C24324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136EA" w14:textId="77777777" w:rsidR="002A797E" w:rsidRPr="004C3F2B" w:rsidRDefault="002A797E" w:rsidP="00C24324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484BA" w14:textId="77777777" w:rsidR="002A797E" w:rsidRPr="004C3F2B" w:rsidRDefault="002A797E" w:rsidP="00C24324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2A797E" w:rsidRPr="004C3F2B" w14:paraId="497D4DD5" w14:textId="77777777" w:rsidTr="00C2432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27444" w14:textId="04EDE175" w:rsidR="002A797E" w:rsidRPr="004C3F2B" w:rsidRDefault="002A797E" w:rsidP="00C24324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334AF" w14:textId="34905087" w:rsidR="002A797E" w:rsidRPr="004C3F2B" w:rsidRDefault="002A797E" w:rsidP="00C24324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Potraživanja za više plaćene poreze i doprinose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91191" w14:textId="5E956EC4" w:rsidR="002A797E" w:rsidRPr="004C3F2B" w:rsidRDefault="002A797E" w:rsidP="00C24324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3A20B" w14:textId="1F127530" w:rsidR="002A797E" w:rsidRPr="004C3F2B" w:rsidRDefault="002A797E" w:rsidP="00C24324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C6CF0" w14:textId="0343614C" w:rsidR="002A797E" w:rsidRPr="004C3F2B" w:rsidRDefault="002A797E" w:rsidP="00C24324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311,11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C3796" w14:textId="351A7205" w:rsidR="002A797E" w:rsidRPr="004C3F2B" w:rsidRDefault="002A797E" w:rsidP="00C24324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14:paraId="671FC423" w14:textId="77777777" w:rsidR="002A797E" w:rsidRPr="004C3F2B" w:rsidRDefault="002A797E" w:rsidP="002A797E">
      <w:pPr>
        <w:spacing w:line="240" w:lineRule="auto"/>
        <w:jc w:val="both"/>
        <w:rPr>
          <w:rFonts w:cs="Times New Roman"/>
        </w:rPr>
      </w:pPr>
    </w:p>
    <w:p w14:paraId="48B451CC" w14:textId="324D94BB" w:rsidR="002A797E" w:rsidRPr="004C3F2B" w:rsidRDefault="002A797E" w:rsidP="002A797E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Potraživanja za više plaćene poreze i doprinose odnose na potraživanje za više plaćeni porez po godišnjem obračunu poreza za jednog zaposlenika.</w:t>
      </w:r>
    </w:p>
    <w:p w14:paraId="4827F744" w14:textId="77777777" w:rsidR="002A797E" w:rsidRPr="004C3F2B" w:rsidRDefault="002A797E" w:rsidP="00E677AC">
      <w:pPr>
        <w:spacing w:line="240" w:lineRule="auto"/>
        <w:jc w:val="both"/>
        <w:rPr>
          <w:rFonts w:cs="Times New Roman"/>
        </w:rPr>
      </w:pPr>
    </w:p>
    <w:p w14:paraId="5F5D1518" w14:textId="7A0E62E2" w:rsidR="00E677AC" w:rsidRPr="004C3F2B" w:rsidRDefault="00E677AC" w:rsidP="00E677AC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lastRenderedPageBreak/>
        <w:t>Bilješka 2</w:t>
      </w:r>
      <w:r w:rsidR="00AF1591">
        <w:rPr>
          <w:rFonts w:cs="Times New Roman"/>
          <w:sz w:val="28"/>
        </w:rPr>
        <w:t>7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0272E303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F337B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6AF88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8B092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ACBC6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832A3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B6A8A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34A06220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BAA62" w14:textId="66DBE750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442D9B" w14:textId="1D794F8D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68037" w14:textId="221F5CD2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1AB9A" w14:textId="1FE377B4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134,53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102E6" w14:textId="1EE63210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248,86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8DDC4" w14:textId="32BD2ADD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185,0</w:t>
            </w:r>
          </w:p>
        </w:tc>
      </w:tr>
    </w:tbl>
    <w:p w14:paraId="07E128C4" w14:textId="77777777" w:rsidR="00E677AC" w:rsidRPr="004C3F2B" w:rsidRDefault="00E677AC" w:rsidP="00E677AC">
      <w:pPr>
        <w:spacing w:line="240" w:lineRule="auto"/>
        <w:jc w:val="both"/>
        <w:rPr>
          <w:rFonts w:cs="Times New Roman"/>
        </w:rPr>
      </w:pPr>
    </w:p>
    <w:p w14:paraId="63E59116" w14:textId="78CEE11F" w:rsidR="00E677AC" w:rsidRPr="004C3F2B" w:rsidRDefault="00FE4704" w:rsidP="00E677AC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Ostala potraživanja bilježe povećanje te se odnose na potraživanje za refundaciju bolovanja od HZZO-a za jednog zaposlenika. Potraživanje za refundaciju bolovanja za jednog zaposlenika zabilježeno je i na 1. siječnja.</w:t>
      </w:r>
    </w:p>
    <w:p w14:paraId="78FBE76F" w14:textId="7E739FA3" w:rsidR="00E677AC" w:rsidRPr="004C3F2B" w:rsidRDefault="00E677AC" w:rsidP="00E677AC">
      <w:pPr>
        <w:keepNext/>
        <w:spacing w:line="240" w:lineRule="auto"/>
        <w:jc w:val="center"/>
        <w:rPr>
          <w:rFonts w:cs="Times New Roman"/>
        </w:rPr>
      </w:pPr>
      <w:r w:rsidRPr="00B8355D">
        <w:rPr>
          <w:rFonts w:cs="Times New Roman"/>
          <w:sz w:val="28"/>
        </w:rPr>
        <w:t>Bilješka 2</w:t>
      </w:r>
      <w:r w:rsidR="00AF1591" w:rsidRPr="00B8355D">
        <w:rPr>
          <w:rFonts w:cs="Times New Roman"/>
          <w:sz w:val="28"/>
        </w:rPr>
        <w:t>8</w:t>
      </w:r>
      <w:r w:rsidRPr="00B8355D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75062702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A837C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3171F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AC978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FC5D5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5298F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84119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AF1591" w:rsidRPr="004C3F2B" w14:paraId="15E5E562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36A25" w14:textId="20A7E546" w:rsidR="00AF1591" w:rsidRPr="00AF1591" w:rsidRDefault="00AF1591" w:rsidP="00AF1591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AF1591">
              <w:rPr>
                <w:rFonts w:cs="Times New Roman"/>
                <w:sz w:val="18"/>
                <w:szCs w:val="18"/>
              </w:rPr>
              <w:t>1631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DBCF00" w14:textId="5A518867" w:rsidR="00AF1591" w:rsidRPr="00AF1591" w:rsidRDefault="00AF1591" w:rsidP="00AF1591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AF1591">
              <w:rPr>
                <w:rFonts w:cs="Times New Roman"/>
                <w:sz w:val="18"/>
                <w:szCs w:val="18"/>
              </w:rPr>
              <w:t>Potraživanja za pomoći od inozemnih vlada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130BA" w14:textId="3E5677D8" w:rsidR="00AF1591" w:rsidRPr="00AF1591" w:rsidRDefault="00AF1591" w:rsidP="00AF1591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AF1591">
              <w:rPr>
                <w:rFonts w:cs="Times New Roman"/>
                <w:b/>
                <w:bCs/>
                <w:sz w:val="18"/>
                <w:szCs w:val="18"/>
              </w:rPr>
              <w:t>1631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747FB" w14:textId="3E4FF501" w:rsidR="00AF1591" w:rsidRPr="00AF1591" w:rsidRDefault="00AF1591" w:rsidP="00AF1591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AF159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13E0E" w14:textId="1DE30924" w:rsidR="00AF1591" w:rsidRPr="00AF1591" w:rsidRDefault="00AF1591" w:rsidP="00AF1591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AF1591">
              <w:rPr>
                <w:rFonts w:cs="Times New Roman"/>
                <w:sz w:val="16"/>
                <w:szCs w:val="16"/>
              </w:rPr>
              <w:t>4.032,50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658B4" w14:textId="6E28AB5D" w:rsidR="00AF1591" w:rsidRPr="00AF1591" w:rsidRDefault="00AF1591" w:rsidP="00AF1591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AF1591"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14:paraId="53AC8A1B" w14:textId="77777777" w:rsidR="00FE4704" w:rsidRPr="004C3F2B" w:rsidRDefault="00FE4704" w:rsidP="00FE4704">
      <w:pPr>
        <w:keepNext/>
        <w:spacing w:line="240" w:lineRule="auto"/>
        <w:jc w:val="both"/>
        <w:rPr>
          <w:rFonts w:cs="Times New Roman"/>
        </w:rPr>
      </w:pPr>
    </w:p>
    <w:p w14:paraId="01CE9676" w14:textId="0F5A7941" w:rsidR="00FE4704" w:rsidRPr="004C3F2B" w:rsidRDefault="00FE4704" w:rsidP="000520E0">
      <w:pPr>
        <w:keepNext/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Potraživanja za pomoći od </w:t>
      </w:r>
      <w:r w:rsidR="00AF1591">
        <w:rPr>
          <w:rFonts w:cs="Times New Roman"/>
        </w:rPr>
        <w:t>inozemnih vlada</w:t>
      </w:r>
      <w:r w:rsidRPr="004C3F2B">
        <w:rPr>
          <w:rFonts w:cs="Times New Roman"/>
        </w:rPr>
        <w:t xml:space="preserve"> na 31. prosinca iznose 4.032,50 eura, a odnose se na potraživanje po završnom izviješću projekta </w:t>
      </w:r>
      <w:r w:rsidR="000520E0" w:rsidRPr="004C3F2B">
        <w:rPr>
          <w:rFonts w:cs="Times New Roman"/>
        </w:rPr>
        <w:t>BUSSINES GO VIRAL.</w:t>
      </w:r>
    </w:p>
    <w:p w14:paraId="0F1AA285" w14:textId="68C581BB" w:rsidR="00E677AC" w:rsidRPr="004C3F2B" w:rsidRDefault="00E677AC" w:rsidP="00E677AC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2</w:t>
      </w:r>
      <w:r w:rsidR="00AF1591">
        <w:rPr>
          <w:rFonts w:cs="Times New Roman"/>
          <w:sz w:val="28"/>
        </w:rPr>
        <w:t>9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40D4FE2E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992A6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BA4F9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4C6E9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FCC68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1A3F9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C5A66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7D7F0B97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7FFC1" w14:textId="1BED232A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8B6F2D" w14:textId="5F6EC31B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4BF95" w14:textId="25AD6187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A66D62" w14:textId="50348773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EE931" w14:textId="689D0219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39.041,55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4FD86" w14:textId="77DA7C1A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14:paraId="0DECA143" w14:textId="77777777" w:rsidR="00E677AC" w:rsidRPr="004C3F2B" w:rsidRDefault="00E677AC" w:rsidP="00E677AC">
      <w:pPr>
        <w:spacing w:line="240" w:lineRule="auto"/>
        <w:jc w:val="both"/>
        <w:rPr>
          <w:rFonts w:cs="Times New Roman"/>
        </w:rPr>
      </w:pPr>
    </w:p>
    <w:p w14:paraId="301F9A51" w14:textId="104ADCE4" w:rsidR="00FE4704" w:rsidRPr="004C3F2B" w:rsidRDefault="00FE4704" w:rsidP="00FE4704">
      <w:pPr>
        <w:keepNext/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Potraživanja proračunskih korisnika za sredstva uplaćena u nadležni proračun i za prihode od HZZO-a na temelju ugovornih obveza odnose se isključivo na potraživanja za prihode uplaćen</w:t>
      </w:r>
      <w:r w:rsidR="00FE0F0A" w:rsidRPr="004C3F2B">
        <w:rPr>
          <w:rFonts w:cs="Times New Roman"/>
        </w:rPr>
        <w:t>e</w:t>
      </w:r>
      <w:r w:rsidRPr="004C3F2B">
        <w:rPr>
          <w:rFonts w:cs="Times New Roman"/>
        </w:rPr>
        <w:t xml:space="preserve"> u proračun PGŽ, a sastoji se većinskim dijelom od predujma za EU projekt INNO2MARE. Stanje </w:t>
      </w:r>
      <w:r w:rsidR="000A0CD2" w:rsidRPr="004C3F2B">
        <w:rPr>
          <w:rFonts w:cs="Times New Roman"/>
        </w:rPr>
        <w:t xml:space="preserve">žiro-računa </w:t>
      </w:r>
      <w:r w:rsidRPr="004C3F2B">
        <w:rPr>
          <w:rFonts w:cs="Times New Roman"/>
        </w:rPr>
        <w:t>na 1. siječnja iznosi 0,00 eura jer se tijekom 2025. godine odvijao proces prelaska proračunskog korisnika na jedinstveni račun proračuna i prijenosa novčanih sredstava na račun Primorsko-goranske županije.</w:t>
      </w:r>
    </w:p>
    <w:p w14:paraId="1163C9C7" w14:textId="77334016" w:rsidR="00E677AC" w:rsidRPr="004C3F2B" w:rsidRDefault="00E677AC" w:rsidP="00E677AC">
      <w:pPr>
        <w:keepNext/>
        <w:spacing w:line="240" w:lineRule="auto"/>
        <w:jc w:val="center"/>
        <w:rPr>
          <w:rFonts w:cs="Times New Roman"/>
        </w:rPr>
      </w:pPr>
      <w:r w:rsidRPr="00AF1591">
        <w:rPr>
          <w:rFonts w:cs="Times New Roman"/>
          <w:sz w:val="28"/>
        </w:rPr>
        <w:t xml:space="preserve">Bilješka </w:t>
      </w:r>
      <w:r w:rsidR="00AF1591">
        <w:rPr>
          <w:rFonts w:cs="Times New Roman"/>
          <w:sz w:val="28"/>
        </w:rPr>
        <w:t>30</w:t>
      </w:r>
      <w:r w:rsidRPr="00AF1591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12B01168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08107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2CA0E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E2CC4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81F16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D7E90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D1F8C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5B7E9AFB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88A91" w14:textId="0E4568A4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08909B" w14:textId="0B1C95BE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 xml:space="preserve">Obveze (šifre 23+24+25+26+27+29) 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03911" w14:textId="15F1E373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BA01D8" w14:textId="129C612B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57.996,39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57C95" w14:textId="6A64B8A8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104.</w:t>
            </w:r>
            <w:r w:rsidR="002A797E" w:rsidRPr="004C3F2B">
              <w:rPr>
                <w:rFonts w:cs="Times New Roman"/>
                <w:b/>
                <w:bCs/>
                <w:sz w:val="16"/>
                <w:szCs w:val="16"/>
              </w:rPr>
              <w:t>437,21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9340D" w14:textId="320BF6B4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</w:t>
            </w:r>
            <w:r w:rsidR="002A797E" w:rsidRPr="004C3F2B">
              <w:rPr>
                <w:rFonts w:cs="Times New Roman"/>
                <w:sz w:val="16"/>
                <w:szCs w:val="16"/>
              </w:rPr>
              <w:t>80,1</w:t>
            </w:r>
          </w:p>
        </w:tc>
      </w:tr>
    </w:tbl>
    <w:p w14:paraId="230C7B3B" w14:textId="77777777" w:rsidR="00E677AC" w:rsidRPr="004C3F2B" w:rsidRDefault="00E677AC" w:rsidP="00E677AC">
      <w:pPr>
        <w:spacing w:line="240" w:lineRule="auto"/>
        <w:jc w:val="both"/>
        <w:rPr>
          <w:rFonts w:cs="Times New Roman"/>
        </w:rPr>
      </w:pPr>
    </w:p>
    <w:p w14:paraId="30E05D6D" w14:textId="793488E7" w:rsidR="00E677AC" w:rsidRPr="004C3F2B" w:rsidRDefault="006D580F" w:rsidP="00E677AC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Obveze bilježe znatno povećanje od </w:t>
      </w:r>
      <w:r w:rsidR="002A797E" w:rsidRPr="004C3F2B">
        <w:rPr>
          <w:rFonts w:cs="Times New Roman"/>
        </w:rPr>
        <w:t>80,1</w:t>
      </w:r>
      <w:r w:rsidRPr="004C3F2B">
        <w:rPr>
          <w:rFonts w:cs="Times New Roman"/>
        </w:rPr>
        <w:t xml:space="preserve">% zbog novog načina evidentiranja sredstava za provedbu EU projekata. Tijekom 2025. godine napravljena </w:t>
      </w:r>
      <w:r w:rsidR="00AC4C14" w:rsidRPr="004C3F2B">
        <w:rPr>
          <w:rFonts w:cs="Times New Roman"/>
        </w:rPr>
        <w:t xml:space="preserve">je </w:t>
      </w:r>
      <w:r w:rsidRPr="004C3F2B">
        <w:rPr>
          <w:rFonts w:cs="Times New Roman"/>
        </w:rPr>
        <w:t>korekcija rezultata iz 2024. godine te je višak prihoda poslovanja umanjen za ostvarene prihode</w:t>
      </w:r>
      <w:r w:rsidR="00AC4C14" w:rsidRPr="004C3F2B">
        <w:rPr>
          <w:rFonts w:cs="Times New Roman"/>
        </w:rPr>
        <w:t xml:space="preserve"> prethodnih razdoblja</w:t>
      </w:r>
      <w:r w:rsidRPr="004C3F2B">
        <w:rPr>
          <w:rFonts w:cs="Times New Roman"/>
        </w:rPr>
        <w:t xml:space="preserve">, koji se po novom Pravilniku o proračunskom računovodstvu i Računskom planu </w:t>
      </w:r>
      <w:r w:rsidR="00AC4C14" w:rsidRPr="004C3F2B">
        <w:rPr>
          <w:rFonts w:cs="Times New Roman"/>
        </w:rPr>
        <w:t>(</w:t>
      </w:r>
      <w:r w:rsidRPr="004C3F2B">
        <w:rPr>
          <w:rFonts w:cs="Times New Roman"/>
        </w:rPr>
        <w:t>stup</w:t>
      </w:r>
      <w:r w:rsidR="00AC4C14" w:rsidRPr="004C3F2B">
        <w:rPr>
          <w:rFonts w:cs="Times New Roman"/>
        </w:rPr>
        <w:t>i</w:t>
      </w:r>
      <w:r w:rsidRPr="004C3F2B">
        <w:rPr>
          <w:rFonts w:cs="Times New Roman"/>
        </w:rPr>
        <w:t>o na snagu 01.01.2025. godine</w:t>
      </w:r>
      <w:r w:rsidR="00AC4C14" w:rsidRPr="004C3F2B">
        <w:rPr>
          <w:rFonts w:cs="Times New Roman"/>
        </w:rPr>
        <w:t>)</w:t>
      </w:r>
      <w:r w:rsidRPr="004C3F2B">
        <w:rPr>
          <w:rFonts w:cs="Times New Roman"/>
        </w:rPr>
        <w:t xml:space="preserve">, </w:t>
      </w:r>
      <w:r w:rsidR="00AC4C14" w:rsidRPr="004C3F2B">
        <w:rPr>
          <w:rFonts w:cs="Times New Roman"/>
        </w:rPr>
        <w:t xml:space="preserve">ne evidentiraju na prihode ukoliko za njih ne postoje prihvatljivi troškovi, </w:t>
      </w:r>
      <w:r w:rsidR="00AC4C14" w:rsidRPr="004C3F2B">
        <w:rPr>
          <w:rFonts w:cs="Times New Roman"/>
        </w:rPr>
        <w:lastRenderedPageBreak/>
        <w:t>već se evidentiraju</w:t>
      </w:r>
      <w:r w:rsidRPr="004C3F2B">
        <w:rPr>
          <w:rFonts w:cs="Times New Roman"/>
        </w:rPr>
        <w:t xml:space="preserve"> na obvezi za</w:t>
      </w:r>
      <w:r w:rsidR="00AC4C14" w:rsidRPr="004C3F2B">
        <w:rPr>
          <w:rFonts w:cs="Times New Roman"/>
        </w:rPr>
        <w:t xml:space="preserve"> EU</w:t>
      </w:r>
      <w:r w:rsidRPr="004C3F2B">
        <w:rPr>
          <w:rFonts w:cs="Times New Roman"/>
        </w:rPr>
        <w:t xml:space="preserve"> predujmove. Obveze za rashode poslovanje ostale su na razini prethodne godine.</w:t>
      </w:r>
    </w:p>
    <w:p w14:paraId="2A6CF404" w14:textId="09A561D4" w:rsidR="00E677AC" w:rsidRPr="004C3F2B" w:rsidRDefault="00E677AC" w:rsidP="00E677AC">
      <w:pPr>
        <w:keepNext/>
        <w:spacing w:line="240" w:lineRule="auto"/>
        <w:jc w:val="center"/>
        <w:rPr>
          <w:rFonts w:cs="Times New Roman"/>
        </w:rPr>
      </w:pPr>
      <w:r w:rsidRPr="00AF1591">
        <w:rPr>
          <w:rFonts w:cs="Times New Roman"/>
          <w:sz w:val="28"/>
        </w:rPr>
        <w:t xml:space="preserve">Bilješka </w:t>
      </w:r>
      <w:r w:rsidR="002A797E" w:rsidRPr="00AF1591">
        <w:rPr>
          <w:rFonts w:cs="Times New Roman"/>
          <w:sz w:val="28"/>
        </w:rPr>
        <w:t>3</w:t>
      </w:r>
      <w:r w:rsidR="00AF1591">
        <w:rPr>
          <w:rFonts w:cs="Times New Roman"/>
          <w:sz w:val="28"/>
        </w:rPr>
        <w:t>1</w:t>
      </w:r>
      <w:r w:rsidRPr="00AF1591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50EE4421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A19FE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3E543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F19D4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E8F5D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EC936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A0212" w14:textId="77777777" w:rsidR="00E677AC" w:rsidRPr="004C3F2B" w:rsidRDefault="00E677AC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72DD9EAB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88CCA" w14:textId="45901D3B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FE0350" w14:textId="51DC94F2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 xml:space="preserve">Obveze za predujmove, depozite, jamčevne pologe i tuđe prihode 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1FD6A" w14:textId="51228207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38DD1" w14:textId="2B63E104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4819D" w14:textId="004EDF43" w:rsidR="00A32B80" w:rsidRPr="004C3F2B" w:rsidRDefault="002A797E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39.274,17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D3316" w14:textId="27D16D8C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14:paraId="3B1CF17E" w14:textId="77777777" w:rsidR="00E677AC" w:rsidRPr="004C3F2B" w:rsidRDefault="00E677AC" w:rsidP="00E677AC">
      <w:pPr>
        <w:spacing w:line="240" w:lineRule="auto"/>
        <w:jc w:val="both"/>
        <w:rPr>
          <w:rFonts w:cs="Times New Roman"/>
        </w:rPr>
      </w:pPr>
    </w:p>
    <w:p w14:paraId="75CC5936" w14:textId="713D99D7" w:rsidR="00E677AC" w:rsidRPr="004C3F2B" w:rsidRDefault="006D580F" w:rsidP="00E677AC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Obveze za predujmove, depozite, jamčevne pologe i tuđe prihode sastoje se od </w:t>
      </w:r>
      <w:r w:rsidR="00BF62AB" w:rsidRPr="004C3F2B">
        <w:rPr>
          <w:rFonts w:cs="Times New Roman"/>
        </w:rPr>
        <w:t>obveze za EU predujmove u iznosu 38.714,20 eura</w:t>
      </w:r>
      <w:r w:rsidR="00EB444A" w:rsidRPr="004C3F2B">
        <w:rPr>
          <w:rFonts w:cs="Times New Roman"/>
        </w:rPr>
        <w:t xml:space="preserve"> za projekt INNO2MARE</w:t>
      </w:r>
      <w:r w:rsidR="002A797E" w:rsidRPr="004C3F2B">
        <w:rPr>
          <w:rFonts w:cs="Times New Roman"/>
        </w:rPr>
        <w:t>,</w:t>
      </w:r>
      <w:r w:rsidR="00BF62AB" w:rsidRPr="004C3F2B">
        <w:rPr>
          <w:rFonts w:cs="Times New Roman"/>
        </w:rPr>
        <w:t xml:space="preserve"> obvezu za povrat u proračun PGŽ za refundacij</w:t>
      </w:r>
      <w:r w:rsidR="002A797E" w:rsidRPr="004C3F2B">
        <w:rPr>
          <w:rFonts w:cs="Times New Roman"/>
        </w:rPr>
        <w:t>u</w:t>
      </w:r>
      <w:r w:rsidR="00BF62AB" w:rsidRPr="004C3F2B">
        <w:rPr>
          <w:rFonts w:cs="Times New Roman"/>
        </w:rPr>
        <w:t xml:space="preserve"> bolovanja od strane HZZO-a u iznosu 248,86 koja će biti zatvorena po izvršenoj refundaciji</w:t>
      </w:r>
      <w:r w:rsidR="002A797E" w:rsidRPr="004C3F2B">
        <w:rPr>
          <w:rFonts w:cs="Times New Roman"/>
        </w:rPr>
        <w:t xml:space="preserve"> i 311,11 eura za više plaćeni porez prema godišnjem obračuna poreza, za koji postoji potraživanje te će obveza biti zatvorena u 2026. godini</w:t>
      </w:r>
      <w:r w:rsidR="00BF62AB" w:rsidRPr="004C3F2B">
        <w:rPr>
          <w:rFonts w:cs="Times New Roman"/>
        </w:rPr>
        <w:t>.</w:t>
      </w:r>
    </w:p>
    <w:p w14:paraId="22E5D42D" w14:textId="1D59E249" w:rsidR="00A32B80" w:rsidRPr="004C3F2B" w:rsidRDefault="00A32B80" w:rsidP="00A32B8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3</w:t>
      </w:r>
      <w:r w:rsidR="00AF1591">
        <w:rPr>
          <w:rFonts w:cs="Times New Roman"/>
          <w:sz w:val="28"/>
        </w:rPr>
        <w:t>2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474EF551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992AB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C9F89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11672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6FECA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94A06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99C53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77565C96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6041C" w14:textId="45787CDF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787E4A" w14:textId="5D7B7E62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Odgođeno plaćanje rashoda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1A7BC" w14:textId="1E313692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CC2BE" w14:textId="6E2F2C58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7DF26" w14:textId="7F3CBCBF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3.261,51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86C7A" w14:textId="2A041E42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14:paraId="472AD649" w14:textId="77777777" w:rsidR="00A32B80" w:rsidRPr="004C3F2B" w:rsidRDefault="00A32B80" w:rsidP="00A32B80">
      <w:pPr>
        <w:spacing w:line="240" w:lineRule="auto"/>
        <w:jc w:val="both"/>
        <w:rPr>
          <w:rFonts w:cs="Times New Roman"/>
        </w:rPr>
      </w:pPr>
    </w:p>
    <w:p w14:paraId="516B88A8" w14:textId="180597DC" w:rsidR="00A32B80" w:rsidRPr="004C3F2B" w:rsidRDefault="00BF62AB" w:rsidP="00A32B8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Odgođeno plaćanje rashoda u potpunosti se odnosi </w:t>
      </w:r>
      <w:r w:rsidR="00F16796" w:rsidRPr="004C3F2B">
        <w:rPr>
          <w:rFonts w:cs="Times New Roman"/>
        </w:rPr>
        <w:t xml:space="preserve">na </w:t>
      </w:r>
      <w:r w:rsidRPr="004C3F2B">
        <w:rPr>
          <w:rFonts w:cs="Times New Roman"/>
        </w:rPr>
        <w:t xml:space="preserve">obračunate rashode koji nisu fakturirani, a </w:t>
      </w:r>
      <w:r w:rsidR="00A57A1B" w:rsidRPr="004C3F2B">
        <w:rPr>
          <w:rFonts w:cs="Times New Roman"/>
        </w:rPr>
        <w:t>njihova proc</w:t>
      </w:r>
      <w:r w:rsidR="00F16796" w:rsidRPr="004C3F2B">
        <w:rPr>
          <w:rFonts w:cs="Times New Roman"/>
        </w:rPr>
        <w:t>i</w:t>
      </w:r>
      <w:r w:rsidR="00A57A1B" w:rsidRPr="004C3F2B">
        <w:rPr>
          <w:rFonts w:cs="Times New Roman"/>
        </w:rPr>
        <w:t xml:space="preserve">jenjena </w:t>
      </w:r>
      <w:r w:rsidR="00211386" w:rsidRPr="004C3F2B">
        <w:rPr>
          <w:rFonts w:cs="Times New Roman"/>
        </w:rPr>
        <w:t xml:space="preserve">vrijednost </w:t>
      </w:r>
      <w:r w:rsidRPr="004C3F2B">
        <w:rPr>
          <w:rFonts w:cs="Times New Roman"/>
        </w:rPr>
        <w:t>teret</w:t>
      </w:r>
      <w:r w:rsidR="00211386" w:rsidRPr="004C3F2B">
        <w:rPr>
          <w:rFonts w:cs="Times New Roman"/>
        </w:rPr>
        <w:t>i</w:t>
      </w:r>
      <w:r w:rsidRPr="004C3F2B">
        <w:rPr>
          <w:rFonts w:cs="Times New Roman"/>
        </w:rPr>
        <w:t xml:space="preserve"> tekuće razdoblje. Obračunati rashodi odnose se na režijske troškove u iznosu 3.261,51 eura</w:t>
      </w:r>
      <w:r w:rsidR="002F3457" w:rsidRPr="004C3F2B">
        <w:rPr>
          <w:rFonts w:cs="Times New Roman"/>
        </w:rPr>
        <w:t>, a zadužuju se po osnovi primjene novog modificiranog načela priznavanja rashoda temeljem članka 51. novog Pravilnika o proračunskom računovodstvu i Računskog planu</w:t>
      </w:r>
      <w:r w:rsidRPr="004C3F2B">
        <w:rPr>
          <w:rFonts w:cs="Times New Roman"/>
        </w:rPr>
        <w:t xml:space="preserve">. </w:t>
      </w:r>
    </w:p>
    <w:p w14:paraId="22EEF553" w14:textId="77777777" w:rsidR="001865F3" w:rsidRPr="004C3F2B" w:rsidRDefault="001865F3" w:rsidP="00A32B80">
      <w:pPr>
        <w:spacing w:line="240" w:lineRule="auto"/>
        <w:jc w:val="both"/>
        <w:rPr>
          <w:rFonts w:cs="Times New Roman"/>
        </w:rPr>
      </w:pPr>
    </w:p>
    <w:p w14:paraId="523D520C" w14:textId="7D2DB15D" w:rsidR="00C8648B" w:rsidRPr="004C3F2B" w:rsidRDefault="001865F3" w:rsidP="001865F3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3</w:t>
      </w:r>
      <w:r w:rsidR="00AF1591">
        <w:rPr>
          <w:rFonts w:cs="Times New Roman"/>
          <w:sz w:val="28"/>
        </w:rPr>
        <w:t>3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8648B" w:rsidRPr="004C3F2B" w14:paraId="2D979100" w14:textId="77777777" w:rsidTr="00562B28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69F7A" w14:textId="77777777" w:rsidR="00C8648B" w:rsidRPr="004C3F2B" w:rsidRDefault="00C8648B" w:rsidP="00562B28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0D43B" w14:textId="77777777" w:rsidR="00C8648B" w:rsidRPr="004C3F2B" w:rsidRDefault="00C8648B" w:rsidP="00562B28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A84CA" w14:textId="77777777" w:rsidR="00C8648B" w:rsidRPr="004C3F2B" w:rsidRDefault="00C8648B" w:rsidP="00562B28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6543C7" w14:textId="77777777" w:rsidR="00C8648B" w:rsidRPr="004C3F2B" w:rsidRDefault="00C8648B" w:rsidP="00562B28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5EFA7" w14:textId="77777777" w:rsidR="00C8648B" w:rsidRPr="004C3F2B" w:rsidRDefault="00C8648B" w:rsidP="00562B28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</w:rPr>
              <w:t>Stanje 31.prosinca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7A2A7" w14:textId="77777777" w:rsidR="00C8648B" w:rsidRPr="004C3F2B" w:rsidRDefault="00C8648B" w:rsidP="00562B28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C8648B" w:rsidRPr="004C3F2B" w14:paraId="7B4ACA8F" w14:textId="77777777" w:rsidTr="00562B28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2668C" w14:textId="77777777" w:rsidR="00C8648B" w:rsidRPr="004C3F2B" w:rsidRDefault="00C8648B" w:rsidP="00562B28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4C3F2B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44CF85" w14:textId="77777777" w:rsidR="00C8648B" w:rsidRPr="004C3F2B" w:rsidRDefault="00C8648B" w:rsidP="00562B28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4C3F2B">
              <w:rPr>
                <w:rFonts w:cs="Times New Roman"/>
                <w:sz w:val="18"/>
                <w:szCs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9DFCE" w14:textId="77777777" w:rsidR="00C8648B" w:rsidRPr="004C3F2B" w:rsidRDefault="00C8648B" w:rsidP="00562B28">
            <w:pPr>
              <w:keepNext/>
              <w:keepLines/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4C3F2B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BCE68" w14:textId="088EC015" w:rsidR="00C8648B" w:rsidRPr="004C3F2B" w:rsidRDefault="001865F3" w:rsidP="00562B28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4C3F2B">
              <w:rPr>
                <w:rFonts w:cs="Times New Roman"/>
                <w:sz w:val="18"/>
                <w:szCs w:val="18"/>
              </w:rPr>
              <w:t>255.172,61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A4D44" w14:textId="102B5D5D" w:rsidR="00C8648B" w:rsidRPr="004C3F2B" w:rsidRDefault="001865F3" w:rsidP="00562B28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4C3F2B">
              <w:rPr>
                <w:rFonts w:cs="Times New Roman"/>
                <w:sz w:val="18"/>
                <w:szCs w:val="18"/>
              </w:rPr>
              <w:t>-45.849,21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2E93F" w14:textId="511805D6" w:rsidR="00C8648B" w:rsidRPr="004C3F2B" w:rsidRDefault="001865F3" w:rsidP="00562B28">
            <w:pPr>
              <w:keepNext/>
              <w:keepLines/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4C3F2B">
              <w:rPr>
                <w:rFonts w:cs="Times New Roman"/>
                <w:sz w:val="18"/>
                <w:szCs w:val="18"/>
              </w:rPr>
              <w:t>-18,0</w:t>
            </w:r>
          </w:p>
        </w:tc>
      </w:tr>
    </w:tbl>
    <w:p w14:paraId="428F84E7" w14:textId="77777777" w:rsidR="00162ACE" w:rsidRPr="004C3F2B" w:rsidRDefault="00162ACE" w:rsidP="00A32B80">
      <w:pPr>
        <w:spacing w:line="240" w:lineRule="auto"/>
        <w:jc w:val="both"/>
        <w:rPr>
          <w:rFonts w:cs="Times New Roman"/>
        </w:rPr>
      </w:pPr>
    </w:p>
    <w:p w14:paraId="25661BE9" w14:textId="55F253B9" w:rsidR="00C8648B" w:rsidRPr="004C3F2B" w:rsidRDefault="00162ACE" w:rsidP="00A32B8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Vlastiti izvori bilježe </w:t>
      </w:r>
      <w:r w:rsidR="005974B9" w:rsidRPr="004C3F2B">
        <w:rPr>
          <w:rFonts w:cs="Times New Roman"/>
        </w:rPr>
        <w:t xml:space="preserve">znatno </w:t>
      </w:r>
      <w:r w:rsidRPr="004C3F2B">
        <w:rPr>
          <w:rFonts w:cs="Times New Roman"/>
        </w:rPr>
        <w:t xml:space="preserve">smanjenje u odnosu na prethodnu godinu a odnose se na vlastite izvore (ŠIFRA 911) u iznosu </w:t>
      </w:r>
      <w:r w:rsidR="00365712" w:rsidRPr="004C3F2B">
        <w:rPr>
          <w:rFonts w:cs="Times New Roman"/>
        </w:rPr>
        <w:t>14.953,98</w:t>
      </w:r>
      <w:r w:rsidRPr="004C3F2B">
        <w:rPr>
          <w:rFonts w:cs="Times New Roman"/>
        </w:rPr>
        <w:t xml:space="preserve"> eur</w:t>
      </w:r>
      <w:r w:rsidR="00365712" w:rsidRPr="004C3F2B">
        <w:rPr>
          <w:rFonts w:cs="Times New Roman"/>
        </w:rPr>
        <w:t>a</w:t>
      </w:r>
      <w:r w:rsidRPr="004C3F2B">
        <w:rPr>
          <w:rFonts w:cs="Times New Roman"/>
        </w:rPr>
        <w:t xml:space="preserve"> i na rezultat odnosno manjak prihoda (ŠIFRA 922) u iznosu od </w:t>
      </w:r>
      <w:r w:rsidR="00654826" w:rsidRPr="004C3F2B">
        <w:rPr>
          <w:rFonts w:cs="Times New Roman"/>
        </w:rPr>
        <w:t>64.835,69</w:t>
      </w:r>
      <w:r w:rsidRPr="004C3F2B">
        <w:rPr>
          <w:rFonts w:cs="Times New Roman"/>
        </w:rPr>
        <w:t xml:space="preserve"> eura. Promjena je zajednički efekt novog modificiranog načela priznavanja rashoda, kojim su ukinuti kontinuirani rashodi, te se evidentiraju procijenjeni rashodi koji nisu </w:t>
      </w:r>
      <w:r w:rsidR="001B73FB" w:rsidRPr="004C3F2B">
        <w:rPr>
          <w:rFonts w:cs="Times New Roman"/>
        </w:rPr>
        <w:t>fakturirani</w:t>
      </w:r>
      <w:r w:rsidRPr="004C3F2B">
        <w:rPr>
          <w:rFonts w:cs="Times New Roman"/>
        </w:rPr>
        <w:t xml:space="preserve"> a terete tekuće razdoblje, kao i novog načela u računovodstvenom evidentiranju i priznavanju EU prihoda, prema kojem se primljeni EU predujmovi evidentiraju na osnovnom računu 27511 - Obveze za EU predujmove, dok su se prema odredbama prethodno važećeg Pravilnika o proračunskom računovodstvu i Računskom planu (N</w:t>
      </w:r>
      <w:r w:rsidR="007A34D4" w:rsidRPr="004C3F2B">
        <w:rPr>
          <w:rFonts w:cs="Times New Roman"/>
        </w:rPr>
        <w:t>.N</w:t>
      </w:r>
      <w:r w:rsidRPr="004C3F2B">
        <w:rPr>
          <w:rFonts w:cs="Times New Roman"/>
        </w:rPr>
        <w:t>, br. 124/14, 115/15, 87/16, 3/18, 126/19 i 108/20) uplate EU sredstava evidentirale kao prihod koji je time ulazio u rezultat poslovanja.</w:t>
      </w:r>
    </w:p>
    <w:p w14:paraId="6A782CF0" w14:textId="77777777" w:rsidR="006A3B83" w:rsidRPr="004C3F2B" w:rsidRDefault="006A3B83" w:rsidP="00A32B80">
      <w:pPr>
        <w:spacing w:line="240" w:lineRule="auto"/>
        <w:jc w:val="both"/>
        <w:rPr>
          <w:rFonts w:cs="Times New Roman"/>
        </w:rPr>
      </w:pPr>
    </w:p>
    <w:p w14:paraId="1AD601CF" w14:textId="03E08BAB" w:rsidR="00A32B80" w:rsidRPr="004C3F2B" w:rsidRDefault="00A32B80" w:rsidP="00A32B80">
      <w:pPr>
        <w:keepNext/>
        <w:spacing w:line="240" w:lineRule="auto"/>
        <w:jc w:val="center"/>
        <w:rPr>
          <w:rFonts w:cs="Times New Roman"/>
        </w:rPr>
      </w:pPr>
      <w:bookmarkStart w:id="2" w:name="_Hlk220145897"/>
      <w:r w:rsidRPr="004C3F2B">
        <w:rPr>
          <w:rFonts w:cs="Times New Roman"/>
          <w:sz w:val="28"/>
        </w:rPr>
        <w:t>Bilješka 3</w:t>
      </w:r>
      <w:r w:rsidR="00AF1591">
        <w:rPr>
          <w:rFonts w:cs="Times New Roman"/>
          <w:sz w:val="28"/>
        </w:rPr>
        <w:t>4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2EC6F7D8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bookmarkEnd w:id="2"/>
          <w:p w14:paraId="1F101680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BFE19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FD780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B4236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7DD00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5F223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4B2E0C78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EDCC2" w14:textId="58B228A5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07B64D" w14:textId="11348080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967CF" w14:textId="77FC2D6F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0671D" w14:textId="5034BB46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241.251,85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08121" w14:textId="547347F0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-64.835,69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68E4D" w14:textId="1F52D7FB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-26,9</w:t>
            </w:r>
          </w:p>
        </w:tc>
      </w:tr>
    </w:tbl>
    <w:p w14:paraId="40A13208" w14:textId="77777777" w:rsidR="00A32B80" w:rsidRPr="004C3F2B" w:rsidRDefault="00A32B80" w:rsidP="00A32B80">
      <w:pPr>
        <w:spacing w:line="240" w:lineRule="auto"/>
        <w:jc w:val="both"/>
        <w:rPr>
          <w:rFonts w:cs="Times New Roman"/>
        </w:rPr>
      </w:pPr>
    </w:p>
    <w:p w14:paraId="03093FF7" w14:textId="5629E2AB" w:rsidR="00A32B80" w:rsidRDefault="00BF62AB" w:rsidP="00A32B8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Rezultat 2025. godine</w:t>
      </w:r>
      <w:r w:rsidR="00AF4F47" w:rsidRPr="004C3F2B">
        <w:rPr>
          <w:rFonts w:cs="Times New Roman"/>
        </w:rPr>
        <w:t xml:space="preserve"> </w:t>
      </w:r>
      <w:r w:rsidR="00B97E94" w:rsidRPr="004C3F2B">
        <w:rPr>
          <w:rFonts w:cs="Times New Roman"/>
        </w:rPr>
        <w:t xml:space="preserve">isključivo </w:t>
      </w:r>
      <w:r w:rsidR="00AF4F47" w:rsidRPr="004C3F2B">
        <w:rPr>
          <w:rFonts w:cs="Times New Roman"/>
        </w:rPr>
        <w:t>je</w:t>
      </w:r>
      <w:r w:rsidR="00B97E94" w:rsidRPr="004C3F2B">
        <w:rPr>
          <w:rFonts w:cs="Times New Roman"/>
        </w:rPr>
        <w:t xml:space="preserve"> manj</w:t>
      </w:r>
      <w:r w:rsidR="00AF4F47" w:rsidRPr="004C3F2B">
        <w:rPr>
          <w:rFonts w:cs="Times New Roman"/>
        </w:rPr>
        <w:t>ak</w:t>
      </w:r>
      <w:r w:rsidR="00B97E94" w:rsidRPr="004C3F2B">
        <w:rPr>
          <w:rFonts w:cs="Times New Roman"/>
        </w:rPr>
        <w:t xml:space="preserve"> prihoda poslovanja </w:t>
      </w:r>
      <w:r w:rsidR="00297437" w:rsidRPr="004C3F2B">
        <w:rPr>
          <w:rFonts w:cs="Times New Roman"/>
        </w:rPr>
        <w:t>koji je nastao zbog evidentiranja rashoda poslovanja mjeseca prosinca 2025. godine, dok će prihod za navedene rashode biti ostvaren u siječnju 2026. godine.</w:t>
      </w:r>
      <w:r w:rsidR="005F06FA" w:rsidRPr="004C3F2B">
        <w:rPr>
          <w:rFonts w:cs="Times New Roman"/>
        </w:rPr>
        <w:t xml:space="preserve"> </w:t>
      </w:r>
    </w:p>
    <w:p w14:paraId="53CF0711" w14:textId="77777777" w:rsidR="00A538AE" w:rsidRPr="004C3F2B" w:rsidRDefault="00A538AE" w:rsidP="00A32B80">
      <w:pPr>
        <w:spacing w:line="240" w:lineRule="auto"/>
        <w:jc w:val="both"/>
        <w:rPr>
          <w:rFonts w:cs="Times New Roman"/>
        </w:rPr>
      </w:pPr>
    </w:p>
    <w:p w14:paraId="14E79F28" w14:textId="2F11ABF9" w:rsidR="00A32B80" w:rsidRPr="004C3F2B" w:rsidRDefault="00A32B80" w:rsidP="00A32B8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3</w:t>
      </w:r>
      <w:r w:rsidR="00AF1591">
        <w:rPr>
          <w:rFonts w:cs="Times New Roman"/>
          <w:sz w:val="28"/>
        </w:rPr>
        <w:t>5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4DB2FFF5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16C65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82546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ACC51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D09C2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C1226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0F7E5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056ACF8C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225E7" w14:textId="558CB95D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450F32" w14:textId="05ED449C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4C9CD" w14:textId="60D22968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EB91C" w14:textId="72CC9753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00F8E" w14:textId="10D0B6EA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4.032,50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1B71E" w14:textId="255BB167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14:paraId="6DA8D292" w14:textId="77777777" w:rsidR="00A32B80" w:rsidRPr="004C3F2B" w:rsidRDefault="00A32B80" w:rsidP="00A32B80">
      <w:pPr>
        <w:spacing w:line="240" w:lineRule="auto"/>
        <w:jc w:val="both"/>
        <w:rPr>
          <w:rFonts w:cs="Times New Roman"/>
        </w:rPr>
      </w:pPr>
    </w:p>
    <w:p w14:paraId="204C24A4" w14:textId="25ECD154" w:rsidR="00297437" w:rsidRPr="004C3F2B" w:rsidRDefault="00297437" w:rsidP="00297437">
      <w:pPr>
        <w:keepNext/>
        <w:spacing w:line="240" w:lineRule="auto"/>
        <w:jc w:val="both"/>
        <w:rPr>
          <w:rFonts w:cs="Times New Roman"/>
        </w:rPr>
      </w:pPr>
      <w:bookmarkStart w:id="3" w:name="_Hlk220051738"/>
      <w:r w:rsidRPr="004C3F2B">
        <w:rPr>
          <w:rFonts w:cs="Times New Roman"/>
        </w:rPr>
        <w:t xml:space="preserve">Obračunate pomoći iz inozemstva </w:t>
      </w:r>
      <w:bookmarkEnd w:id="3"/>
      <w:r w:rsidRPr="004C3F2B">
        <w:rPr>
          <w:rFonts w:cs="Times New Roman"/>
        </w:rPr>
        <w:t>odno</w:t>
      </w:r>
      <w:r w:rsidR="00F16796" w:rsidRPr="004C3F2B">
        <w:rPr>
          <w:rFonts w:cs="Times New Roman"/>
        </w:rPr>
        <w:t>se</w:t>
      </w:r>
      <w:r w:rsidRPr="004C3F2B">
        <w:rPr>
          <w:rFonts w:cs="Times New Roman"/>
        </w:rPr>
        <w:t xml:space="preserve"> se na obračunat</w:t>
      </w:r>
      <w:r w:rsidR="00F16796" w:rsidRPr="004C3F2B">
        <w:rPr>
          <w:rFonts w:cs="Times New Roman"/>
        </w:rPr>
        <w:t>u</w:t>
      </w:r>
      <w:r w:rsidRPr="004C3F2B">
        <w:rPr>
          <w:rFonts w:cs="Times New Roman"/>
        </w:rPr>
        <w:t xml:space="preserve"> pomoć po završnom izviješću projekta </w:t>
      </w:r>
      <w:r w:rsidR="00007945" w:rsidRPr="004C3F2B">
        <w:rPr>
          <w:rFonts w:cs="Times New Roman"/>
        </w:rPr>
        <w:t>BUSINESS GO VIRAL</w:t>
      </w:r>
      <w:r w:rsidRPr="004C3F2B">
        <w:rPr>
          <w:rFonts w:cs="Times New Roman"/>
        </w:rPr>
        <w:t xml:space="preserve"> u iznosu </w:t>
      </w:r>
      <w:r w:rsidR="00F16796" w:rsidRPr="004C3F2B">
        <w:rPr>
          <w:rFonts w:cs="Times New Roman"/>
        </w:rPr>
        <w:t xml:space="preserve">od </w:t>
      </w:r>
      <w:r w:rsidRPr="004C3F2B">
        <w:rPr>
          <w:rFonts w:cs="Times New Roman"/>
        </w:rPr>
        <w:t xml:space="preserve">4.032,50 eura. </w:t>
      </w:r>
    </w:p>
    <w:p w14:paraId="00A32B65" w14:textId="24267522" w:rsidR="00A32B80" w:rsidRPr="004C3F2B" w:rsidRDefault="00A32B80" w:rsidP="00A32B80">
      <w:pPr>
        <w:spacing w:line="240" w:lineRule="auto"/>
        <w:jc w:val="both"/>
        <w:rPr>
          <w:rFonts w:cs="Times New Roman"/>
        </w:rPr>
      </w:pPr>
    </w:p>
    <w:p w14:paraId="0EC47B04" w14:textId="7F534C54" w:rsidR="00A32B80" w:rsidRPr="004C3F2B" w:rsidRDefault="00A32B80" w:rsidP="00A32B8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3</w:t>
      </w:r>
      <w:r w:rsidR="00AF1591">
        <w:rPr>
          <w:rFonts w:cs="Times New Roman"/>
          <w:sz w:val="28"/>
        </w:rPr>
        <w:t>6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2F27B4F9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FFA35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E999C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7C968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660C4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B0BB5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CE3B1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25ACEA6D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68CBA" w14:textId="285774C5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616E00" w14:textId="0831B4C6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proofErr w:type="spellStart"/>
            <w:r w:rsidRPr="004C3F2B">
              <w:rPr>
                <w:rFonts w:cs="Times New Roman"/>
                <w:sz w:val="18"/>
                <w:szCs w:val="18"/>
              </w:rPr>
              <w:t>Izvanbilančni</w:t>
            </w:r>
            <w:proofErr w:type="spellEnd"/>
            <w:r w:rsidRPr="004C3F2B">
              <w:rPr>
                <w:rFonts w:cs="Times New Roman"/>
                <w:sz w:val="18"/>
                <w:szCs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5B2D9" w14:textId="31207779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ACED4" w14:textId="5D5B3794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D63FF" w14:textId="5B03593B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610.693,85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20454" w14:textId="044BC6CA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-</w:t>
            </w:r>
          </w:p>
        </w:tc>
      </w:tr>
    </w:tbl>
    <w:p w14:paraId="75AA1E41" w14:textId="77777777" w:rsidR="00A32B80" w:rsidRPr="004C3F2B" w:rsidRDefault="00A32B80" w:rsidP="00A32B80">
      <w:pPr>
        <w:spacing w:line="240" w:lineRule="auto"/>
        <w:jc w:val="both"/>
        <w:rPr>
          <w:rFonts w:cs="Times New Roman"/>
        </w:rPr>
      </w:pPr>
    </w:p>
    <w:p w14:paraId="69429B34" w14:textId="4E592EB7" w:rsidR="00A538AE" w:rsidRDefault="00997B27" w:rsidP="00A32B80">
      <w:pPr>
        <w:spacing w:line="240" w:lineRule="auto"/>
        <w:jc w:val="both"/>
        <w:rPr>
          <w:rFonts w:cs="Times New Roman"/>
        </w:rPr>
      </w:pPr>
      <w:proofErr w:type="spellStart"/>
      <w:r w:rsidRPr="004C3F2B">
        <w:rPr>
          <w:rFonts w:cs="Times New Roman"/>
        </w:rPr>
        <w:t>Izvanbilančni</w:t>
      </w:r>
      <w:proofErr w:type="spellEnd"/>
      <w:r w:rsidRPr="004C3F2B">
        <w:rPr>
          <w:rFonts w:cs="Times New Roman"/>
        </w:rPr>
        <w:t xml:space="preserve"> zapisi odnose se isključivo na potraživanja po četiri ugovora o </w:t>
      </w:r>
      <w:r w:rsidR="000A45EB" w:rsidRPr="004C3F2B">
        <w:rPr>
          <w:rFonts w:cs="Times New Roman"/>
        </w:rPr>
        <w:t>dodijeljenim</w:t>
      </w:r>
      <w:r w:rsidRPr="004C3F2B">
        <w:rPr>
          <w:rFonts w:cs="Times New Roman"/>
        </w:rPr>
        <w:t xml:space="preserve"> bespovratnim sredstvima iz EU fondova u vrijednosti 610.693,85 eura.</w:t>
      </w:r>
    </w:p>
    <w:p w14:paraId="3BC3213B" w14:textId="77777777" w:rsidR="00A538AE" w:rsidRPr="004C3F2B" w:rsidRDefault="00A538AE" w:rsidP="00A32B80">
      <w:pPr>
        <w:spacing w:line="240" w:lineRule="auto"/>
        <w:jc w:val="both"/>
        <w:rPr>
          <w:rFonts w:cs="Times New Roman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1373"/>
        <w:gridCol w:w="264"/>
        <w:gridCol w:w="730"/>
        <w:gridCol w:w="900"/>
        <w:gridCol w:w="54"/>
        <w:gridCol w:w="803"/>
        <w:gridCol w:w="107"/>
        <w:gridCol w:w="1044"/>
        <w:gridCol w:w="703"/>
        <w:gridCol w:w="700"/>
        <w:gridCol w:w="1430"/>
        <w:gridCol w:w="586"/>
        <w:gridCol w:w="417"/>
        <w:gridCol w:w="224"/>
        <w:gridCol w:w="417"/>
      </w:tblGrid>
      <w:tr w:rsidR="00A538AE" w:rsidRPr="00551526" w14:paraId="6CE059C4" w14:textId="77777777" w:rsidTr="00750607">
        <w:trPr>
          <w:gridAfter w:val="1"/>
          <w:wAfter w:w="417" w:type="dxa"/>
          <w:trHeight w:val="600"/>
        </w:trPr>
        <w:tc>
          <w:tcPr>
            <w:tcW w:w="933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48B49" w14:textId="77777777" w:rsidR="00A538AE" w:rsidRPr="00551526" w:rsidRDefault="00A538AE" w:rsidP="0075060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bookmarkStart w:id="4" w:name="RANGE!A1:F36"/>
            <w:r w:rsidRPr="00551526">
              <w:rPr>
                <w:rFonts w:eastAsia="Times New Roman" w:cs="Times New Roman"/>
                <w:color w:val="000000"/>
                <w:kern w:val="0"/>
                <w14:ligatures w14:val="none"/>
              </w:rPr>
              <w:t>Tablica 1.: Popis ugovornih odnosa i slično koji uz ispunjenje određenih uvjeta mogu postati obveza, na dan 31. prosinca 2025. godine</w:t>
            </w:r>
            <w:bookmarkEnd w:id="4"/>
          </w:p>
        </w:tc>
      </w:tr>
      <w:tr w:rsidR="00A538AE" w:rsidRPr="002C1E72" w14:paraId="5B9B0170" w14:textId="77777777" w:rsidTr="00A538AE">
        <w:trPr>
          <w:gridAfter w:val="3"/>
          <w:wAfter w:w="417" w:type="dxa"/>
          <w:trHeight w:val="300"/>
        </w:trPr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0A3EB" w14:textId="77777777" w:rsidR="00A538AE" w:rsidRPr="002C1E72" w:rsidRDefault="00A538AE" w:rsidP="00750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67FB" w14:textId="77777777" w:rsidR="00A538AE" w:rsidRPr="002C1E72" w:rsidRDefault="00A538AE" w:rsidP="00750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DA88" w14:textId="77777777" w:rsidR="00A538AE" w:rsidRPr="002C1E72" w:rsidRDefault="00A538AE" w:rsidP="00750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5EC8" w14:textId="77777777" w:rsidR="00A538AE" w:rsidRPr="002C1E72" w:rsidRDefault="00A538AE" w:rsidP="00750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1486" w14:textId="77777777" w:rsidR="00A538AE" w:rsidRPr="002C1E72" w:rsidRDefault="00A538AE" w:rsidP="00750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538AE" w:rsidRPr="002C1E72" w14:paraId="764ECBF4" w14:textId="77777777" w:rsidTr="00A538AE">
        <w:trPr>
          <w:gridAfter w:val="3"/>
          <w:wAfter w:w="417" w:type="dxa"/>
          <w:trHeight w:val="625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4931EB2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Proračunski korisnik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B0D79E9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Vrsta jamstva / instrumenta osiguranja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F0AEB63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Iznos (kn)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0F505A9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Namjena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2E7164A" w14:textId="77777777" w:rsidR="00A538AE" w:rsidRPr="002C1E72" w:rsidRDefault="00A538AE" w:rsidP="00750607">
            <w:pPr>
              <w:keepNext/>
              <w:keepLines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Napomena</w:t>
            </w:r>
          </w:p>
        </w:tc>
      </w:tr>
      <w:tr w:rsidR="00A538AE" w:rsidRPr="002C1E72" w14:paraId="31827E4C" w14:textId="77777777" w:rsidTr="00A538AE">
        <w:trPr>
          <w:gridAfter w:val="3"/>
          <w:wAfter w:w="417" w:type="dxa"/>
          <w:trHeight w:val="45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3CE3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3BAF0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7674C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ADD8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40C23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A538AE" w:rsidRPr="002C1E72" w14:paraId="4102AC27" w14:textId="77777777" w:rsidTr="00750607">
        <w:trPr>
          <w:gridAfter w:val="1"/>
          <w:wAfter w:w="417" w:type="dxa"/>
          <w:trHeight w:val="600"/>
        </w:trPr>
        <w:tc>
          <w:tcPr>
            <w:tcW w:w="933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08552" w14:textId="77777777" w:rsidR="00A538AE" w:rsidRDefault="00A538AE" w:rsidP="00750607">
            <w:pPr>
              <w:spacing w:after="0" w:line="240" w:lineRule="auto"/>
              <w:rPr>
                <w:rFonts w:cs="Times New Roman"/>
              </w:rPr>
            </w:pPr>
          </w:p>
          <w:p w14:paraId="5E8FC438" w14:textId="77777777" w:rsidR="00A538AE" w:rsidRDefault="00A538AE" w:rsidP="00750607">
            <w:pPr>
              <w:spacing w:after="0" w:line="240" w:lineRule="auto"/>
              <w:rPr>
                <w:rFonts w:cs="Times New Roman"/>
              </w:rPr>
            </w:pPr>
          </w:p>
          <w:p w14:paraId="380181D5" w14:textId="77777777" w:rsidR="00A538AE" w:rsidRDefault="00A538AE" w:rsidP="00750607">
            <w:pPr>
              <w:spacing w:after="0" w:line="240" w:lineRule="auto"/>
              <w:rPr>
                <w:rFonts w:cs="Times New Roman"/>
              </w:rPr>
            </w:pPr>
          </w:p>
          <w:p w14:paraId="73781638" w14:textId="77777777" w:rsidR="00A538AE" w:rsidRDefault="00A538AE" w:rsidP="00750607">
            <w:pPr>
              <w:spacing w:after="0" w:line="240" w:lineRule="auto"/>
              <w:rPr>
                <w:rFonts w:cs="Times New Roman"/>
              </w:rPr>
            </w:pPr>
          </w:p>
          <w:p w14:paraId="7633EC71" w14:textId="2CDE9E9F" w:rsidR="00A538AE" w:rsidRPr="002C1E72" w:rsidRDefault="00A538AE" w:rsidP="00750607">
            <w:pPr>
              <w:spacing w:after="0" w:line="240" w:lineRule="auto"/>
              <w:rPr>
                <w:rFonts w:cs="Times New Roman"/>
              </w:rPr>
            </w:pPr>
            <w:r w:rsidRPr="002C1E72">
              <w:rPr>
                <w:rFonts w:cs="Times New Roman"/>
              </w:rPr>
              <w:lastRenderedPageBreak/>
              <w:t>Tablica 2.: Popis ugovornih odnosa i slično koji uz ispunjenje određenih uvjeta mogu postati imovina, na dan 31. prosinca 2025. godine</w:t>
            </w:r>
          </w:p>
        </w:tc>
      </w:tr>
      <w:tr w:rsidR="00A538AE" w:rsidRPr="002C1E72" w14:paraId="025ED65B" w14:textId="77777777" w:rsidTr="00A538AE">
        <w:trPr>
          <w:gridAfter w:val="3"/>
          <w:wAfter w:w="417" w:type="dxa"/>
          <w:trHeight w:val="300"/>
        </w:trPr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32CCF" w14:textId="77777777" w:rsidR="00A538AE" w:rsidRPr="002C1E72" w:rsidRDefault="00A538AE" w:rsidP="0075060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D679" w14:textId="77777777" w:rsidR="00A538AE" w:rsidRPr="002C1E72" w:rsidRDefault="00A538AE" w:rsidP="0075060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8831" w14:textId="77777777" w:rsidR="00A538AE" w:rsidRPr="002C1E72" w:rsidRDefault="00A538AE" w:rsidP="0075060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AE65" w14:textId="77777777" w:rsidR="00A538AE" w:rsidRPr="002C1E72" w:rsidRDefault="00A538AE" w:rsidP="0075060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366D" w14:textId="77777777" w:rsidR="00A538AE" w:rsidRPr="002C1E72" w:rsidRDefault="00A538AE" w:rsidP="0075060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538AE" w:rsidRPr="002C1E72" w14:paraId="1A95A715" w14:textId="77777777" w:rsidTr="00A538AE">
        <w:trPr>
          <w:gridAfter w:val="3"/>
          <w:wAfter w:w="417" w:type="dxa"/>
          <w:trHeight w:val="738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B5223F9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Proračunski korisnik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93AC2CD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Vrsta jamstva / instrumenta osiguranja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E501DEA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Iznos (kn)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2985055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Namjena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84E9ACF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Napomena</w:t>
            </w:r>
          </w:p>
        </w:tc>
      </w:tr>
      <w:tr w:rsidR="00A538AE" w:rsidRPr="002C1E72" w14:paraId="56668BEE" w14:textId="77777777" w:rsidTr="00A538AE">
        <w:trPr>
          <w:gridAfter w:val="3"/>
          <w:wAfter w:w="417" w:type="dxa"/>
          <w:trHeight w:val="450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786B9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6CF4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AF52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BF19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E18C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A538AE" w:rsidRPr="002C1E72" w14:paraId="6E4D3FD5" w14:textId="77777777" w:rsidTr="00750607">
        <w:trPr>
          <w:trHeight w:val="600"/>
        </w:trPr>
        <w:tc>
          <w:tcPr>
            <w:tcW w:w="975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B1D09" w14:textId="77777777" w:rsidR="00A538AE" w:rsidRDefault="00A538AE" w:rsidP="00750607">
            <w:pPr>
              <w:spacing w:line="240" w:lineRule="auto"/>
              <w:jc w:val="both"/>
              <w:rPr>
                <w:rFonts w:cs="Times New Roman"/>
              </w:rPr>
            </w:pPr>
          </w:p>
          <w:p w14:paraId="3712FBA8" w14:textId="60F9681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</w:rPr>
            </w:pPr>
            <w:r w:rsidRPr="002C1E72">
              <w:rPr>
                <w:rFonts w:cs="Times New Roman"/>
              </w:rPr>
              <w:t>Tablica 3.: Popis sudskih sporova u tijeku na dan 31. prosinca 2025. godine</w:t>
            </w:r>
          </w:p>
        </w:tc>
      </w:tr>
      <w:tr w:rsidR="00A538AE" w:rsidRPr="002C1E72" w14:paraId="2CE3F2B7" w14:textId="77777777" w:rsidTr="00750607">
        <w:trPr>
          <w:gridAfter w:val="2"/>
          <w:wAfter w:w="641" w:type="dxa"/>
          <w:trHeight w:val="143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496CC7C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Proračunski korisnik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82F7F7F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Tuženik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13B0BCB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Tužitelj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14050BA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Sažeti opis prirode spora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B65AB37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Iznos glavnice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6626EF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Procjena financijskog učinka koji može proisteći iz sudskog spora kao obveza ili imovina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7F08361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Procijenjeno vrijeme odljeva ili priljeva sredstava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ECF0EF" w14:textId="77777777" w:rsidR="00A538AE" w:rsidRPr="002C1E72" w:rsidRDefault="00A538AE" w:rsidP="00750607">
            <w:pPr>
              <w:spacing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2C1E72">
              <w:rPr>
                <w:rFonts w:cs="Times New Roman"/>
                <w:sz w:val="18"/>
                <w:szCs w:val="18"/>
              </w:rPr>
              <w:t>Početak sudskog spora</w:t>
            </w:r>
          </w:p>
        </w:tc>
      </w:tr>
      <w:tr w:rsidR="00A538AE" w:rsidRPr="002C1E72" w14:paraId="189E6E4B" w14:textId="77777777" w:rsidTr="00750607">
        <w:trPr>
          <w:gridAfter w:val="2"/>
          <w:wAfter w:w="641" w:type="dxa"/>
          <w:trHeight w:val="45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33EB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C1E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8542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C1E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3E203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C1E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46EF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C1E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215B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C1E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746E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C1E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7AC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C1E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DE72" w14:textId="77777777" w:rsidR="00A538AE" w:rsidRPr="002C1E72" w:rsidRDefault="00A538AE" w:rsidP="00750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C1E7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4596BD3B" w14:textId="77777777" w:rsidR="00E677AC" w:rsidRPr="004C3F2B" w:rsidRDefault="00E677AC" w:rsidP="00FA5FFA">
      <w:pPr>
        <w:spacing w:line="240" w:lineRule="auto"/>
        <w:jc w:val="both"/>
        <w:rPr>
          <w:rFonts w:cs="Times New Roman"/>
        </w:rPr>
      </w:pPr>
    </w:p>
    <w:p w14:paraId="5A8705B1" w14:textId="4FBE28EB" w:rsidR="00A32B80" w:rsidRPr="004C3F2B" w:rsidRDefault="00A32B80" w:rsidP="00A32B8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b/>
          <w:sz w:val="28"/>
        </w:rPr>
        <w:t>Izvještaj RAS-funkcijski</w:t>
      </w:r>
    </w:p>
    <w:p w14:paraId="32F4FCAB" w14:textId="77777777" w:rsidR="00E677AC" w:rsidRPr="004C3F2B" w:rsidRDefault="00E677AC" w:rsidP="00FA5FFA">
      <w:pPr>
        <w:spacing w:line="240" w:lineRule="auto"/>
        <w:jc w:val="both"/>
        <w:rPr>
          <w:rFonts w:cs="Times New Roman"/>
        </w:rPr>
      </w:pPr>
    </w:p>
    <w:p w14:paraId="468A342B" w14:textId="68B3CBC3" w:rsidR="00A32B80" w:rsidRPr="004C3F2B" w:rsidRDefault="00A32B80" w:rsidP="00A32B8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3</w:t>
      </w:r>
      <w:r w:rsidR="00AF1591">
        <w:rPr>
          <w:rFonts w:cs="Times New Roman"/>
          <w:sz w:val="28"/>
        </w:rPr>
        <w:t>7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11DDE7A8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03D79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31B5C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D4814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2EED2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0DA09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96CC0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77428A8F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CCCB6" w14:textId="5698B970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1609D4" w14:textId="209A45C7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Ekonomski poslovi (šifre 041+042+043+044+045+046+047+048+049)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3EE32" w14:textId="44969C47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55C863" w14:textId="60208C94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805.142,48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537BB" w14:textId="2415A654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1.053.460,44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802DB" w14:textId="6243B4B9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130,8</w:t>
            </w:r>
          </w:p>
        </w:tc>
      </w:tr>
    </w:tbl>
    <w:p w14:paraId="4ECA8BA8" w14:textId="77777777" w:rsidR="00A32B80" w:rsidRPr="004C3F2B" w:rsidRDefault="00A32B80" w:rsidP="00A32B80">
      <w:pPr>
        <w:spacing w:after="0"/>
        <w:rPr>
          <w:rFonts w:cs="Times New Roman"/>
        </w:rPr>
      </w:pPr>
    </w:p>
    <w:p w14:paraId="4B5C81AD" w14:textId="6AD9675C" w:rsidR="00A32B80" w:rsidRPr="004C3F2B" w:rsidRDefault="003E47E1" w:rsidP="00A32B8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Rashodi prema funkcijskoj klasifikaciji </w:t>
      </w:r>
      <w:r w:rsidR="004D4A1E" w:rsidRPr="004C3F2B">
        <w:rPr>
          <w:rFonts w:cs="Times New Roman"/>
        </w:rPr>
        <w:t>za ekonomske poslove ostvareni su u iznosu 1.053.460,44 eura, što predstavlja povećanje od 30,8% u odnosu na ostvareno u izvještajnom razdoblju prethodne godine. Povećanje proizlazi iz rashoda koji po funkcijskoj klasifikaciji spadaju u turizam (0473) gdje je ostvareno 1.956,29 eura</w:t>
      </w:r>
      <w:r w:rsidR="00F6213B" w:rsidRPr="004C3F2B">
        <w:rPr>
          <w:rFonts w:cs="Times New Roman"/>
        </w:rPr>
        <w:t xml:space="preserve"> u tekućem razdoblju, </w:t>
      </w:r>
      <w:r w:rsidR="003125AF" w:rsidRPr="004C3F2B">
        <w:rPr>
          <w:rFonts w:cs="Times New Roman"/>
        </w:rPr>
        <w:t xml:space="preserve">dok prethodne godine nije bilo rashoda u ovoj klasifikacijskoj skupini. Razlika je najveća za višenamjenske razvojne projekte (0474), gdje je u tekućem izvještajnom razdoblju ostvareno 434.488,43 eura u odnosu na prethodnu godinu kada je ostvareno 176.798,44 eura, što predstavlja povećanje od dva i pol puta. </w:t>
      </w:r>
      <w:r w:rsidR="000C738D" w:rsidRPr="004C3F2B">
        <w:rPr>
          <w:rFonts w:cs="Times New Roman"/>
        </w:rPr>
        <w:t>Ekonomski poslovi koji nisu drugdje svrstani (049)</w:t>
      </w:r>
      <w:r w:rsidR="003125AF" w:rsidRPr="004C3F2B">
        <w:rPr>
          <w:rFonts w:cs="Times New Roman"/>
        </w:rPr>
        <w:t xml:space="preserve"> također bilježe povećanje jer je u tekućem razdoblju ostvareno 597.540,49 eura, u odnosu na 567.891,74 eura koliko </w:t>
      </w:r>
      <w:r w:rsidR="000C738D" w:rsidRPr="004C3F2B">
        <w:rPr>
          <w:rFonts w:cs="Times New Roman"/>
        </w:rPr>
        <w:t xml:space="preserve">je ostvareno prethodne godine, dok jedino Istraživanje i razvoj: Ostale industrije (0487) bilježe značajno smanjenje, </w:t>
      </w:r>
      <w:r w:rsidR="009070B9" w:rsidRPr="004C3F2B">
        <w:rPr>
          <w:rFonts w:cs="Times New Roman"/>
        </w:rPr>
        <w:t>gdje</w:t>
      </w:r>
      <w:r w:rsidR="000C738D" w:rsidRPr="004C3F2B">
        <w:rPr>
          <w:rFonts w:cs="Times New Roman"/>
        </w:rPr>
        <w:t xml:space="preserve"> je </w:t>
      </w:r>
      <w:r w:rsidR="009070B9" w:rsidRPr="004C3F2B">
        <w:rPr>
          <w:rFonts w:cs="Times New Roman"/>
        </w:rPr>
        <w:t xml:space="preserve">ostvareno 19.475,23 eura, što predstavlja smanje rashoda ove skupine u izvještajnom rashodu tekuće godine u odnosu na </w:t>
      </w:r>
      <w:r w:rsidR="000C738D" w:rsidRPr="004C3F2B">
        <w:rPr>
          <w:rFonts w:cs="Times New Roman"/>
        </w:rPr>
        <w:t xml:space="preserve"> </w:t>
      </w:r>
      <w:r w:rsidR="009070B9" w:rsidRPr="004C3F2B">
        <w:rPr>
          <w:rFonts w:cs="Times New Roman"/>
        </w:rPr>
        <w:t>60.452,30 eura koji su ostvareni 2024. godine.</w:t>
      </w:r>
    </w:p>
    <w:p w14:paraId="02E9CF93" w14:textId="22244F5B" w:rsidR="00A32B80" w:rsidRPr="004C3F2B" w:rsidRDefault="00A32B80" w:rsidP="00A32B80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lastRenderedPageBreak/>
        <w:t>Bilješka 3</w:t>
      </w:r>
      <w:r w:rsidR="00AF1591">
        <w:rPr>
          <w:rFonts w:cs="Times New Roman"/>
          <w:sz w:val="28"/>
        </w:rPr>
        <w:t>8</w:t>
      </w:r>
      <w:r w:rsidRPr="004C3F2B">
        <w:rPr>
          <w:rFonts w:cs="Times New Roman"/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A05FA" w:rsidRPr="004C3F2B" w14:paraId="55BB6135" w14:textId="77777777" w:rsidTr="009C4FDE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CE9C1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08986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8C68D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5E637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DA167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5A297" w14:textId="77777777" w:rsidR="00A32B80" w:rsidRPr="004C3F2B" w:rsidRDefault="00A32B80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Indeks (%)</w:t>
            </w:r>
          </w:p>
        </w:tc>
      </w:tr>
      <w:tr w:rsidR="008A05FA" w:rsidRPr="004C3F2B" w14:paraId="03ADBC0A" w14:textId="77777777" w:rsidTr="009C4FDE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D0CBE" w14:textId="165F1A35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E8A60" w14:textId="31C6541C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F44F1" w14:textId="25B6E9C5" w:rsidR="00A32B80" w:rsidRPr="004C3F2B" w:rsidRDefault="00A32B80" w:rsidP="00A32B80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490A3" w14:textId="406B04E5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19.971,77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DBB2B" w14:textId="0C9592B4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20.076,11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2477F" w14:textId="19A6A552" w:rsidR="00A32B80" w:rsidRPr="004C3F2B" w:rsidRDefault="00A32B80" w:rsidP="00A32B80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100,5</w:t>
            </w:r>
          </w:p>
        </w:tc>
      </w:tr>
    </w:tbl>
    <w:p w14:paraId="3B138A80" w14:textId="77777777" w:rsidR="00A32B80" w:rsidRPr="004C3F2B" w:rsidRDefault="00A32B80" w:rsidP="00A32B80">
      <w:pPr>
        <w:spacing w:after="0"/>
        <w:rPr>
          <w:rFonts w:cs="Times New Roman"/>
        </w:rPr>
      </w:pPr>
    </w:p>
    <w:p w14:paraId="77B5132F" w14:textId="0633656E" w:rsidR="00A32B80" w:rsidRPr="004C3F2B" w:rsidRDefault="009070B9" w:rsidP="00A32B80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Rashodi po ekonomskoj klasifikaciji koji spadaju u skupinu obrazovanja ostvareni su na razini izvještajnog razdoblja prethodne godine, ali se nešto razlikuju po svojoj strukturi. Rashodi koji po klasifikaciji pripadaju Osnovnom obrazovanju (0912) u ovom izvještajnom razdoblju ostvareni su u visini 5.468,25 eura, dok ih u izvještajno</w:t>
      </w:r>
      <w:r w:rsidR="00AB28A5" w:rsidRPr="004C3F2B">
        <w:rPr>
          <w:rFonts w:cs="Times New Roman"/>
        </w:rPr>
        <w:t>m</w:t>
      </w:r>
      <w:r w:rsidRPr="004C3F2B">
        <w:rPr>
          <w:rFonts w:cs="Times New Roman"/>
        </w:rPr>
        <w:t xml:space="preserve"> razdoblju prethodne godine nije bilo. Rashodi koji se klasificiraju kao </w:t>
      </w:r>
      <w:r w:rsidR="000520E0" w:rsidRPr="004C3F2B">
        <w:rPr>
          <w:rFonts w:cs="Times New Roman"/>
        </w:rPr>
        <w:t>Usluge obrazovanja koje nisu drugdje svrstane (098) ostvarene su u visini 14.607,86 eura u izvještajnom razdoblju tekuće godine.</w:t>
      </w:r>
    </w:p>
    <w:p w14:paraId="7AFC54C9" w14:textId="77777777" w:rsidR="00505669" w:rsidRPr="004C3F2B" w:rsidRDefault="00505669" w:rsidP="00A32B80">
      <w:pPr>
        <w:spacing w:line="240" w:lineRule="auto"/>
        <w:jc w:val="both"/>
        <w:rPr>
          <w:rFonts w:cs="Times New Roman"/>
        </w:rPr>
      </w:pPr>
    </w:p>
    <w:p w14:paraId="1C5A7F62" w14:textId="60169973" w:rsidR="00CE317D" w:rsidRPr="004C3F2B" w:rsidRDefault="00CE317D" w:rsidP="00CE317D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b/>
          <w:sz w:val="28"/>
        </w:rPr>
        <w:t>Izvještaj P-VRIO</w:t>
      </w:r>
    </w:p>
    <w:p w14:paraId="56D598BC" w14:textId="77777777" w:rsidR="00CE317D" w:rsidRPr="004C3F2B" w:rsidRDefault="00CE317D" w:rsidP="00CE317D">
      <w:pPr>
        <w:spacing w:line="240" w:lineRule="auto"/>
        <w:jc w:val="both"/>
        <w:rPr>
          <w:rFonts w:cs="Times New Roman"/>
        </w:rPr>
      </w:pPr>
    </w:p>
    <w:p w14:paraId="5B513EBC" w14:textId="595688CF" w:rsidR="00CE317D" w:rsidRPr="004C3F2B" w:rsidRDefault="00CE317D" w:rsidP="00CE317D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>Bilješka 3</w:t>
      </w:r>
      <w:r w:rsidR="00AF1591">
        <w:rPr>
          <w:rFonts w:cs="Times New Roman"/>
          <w:sz w:val="28"/>
        </w:rPr>
        <w:t>9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8A05FA" w:rsidRPr="004C3F2B" w14:paraId="0DFCF8FF" w14:textId="77777777" w:rsidTr="00CE317D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0955A" w14:textId="77777777" w:rsidR="00CE317D" w:rsidRPr="004C3F2B" w:rsidRDefault="00CE317D" w:rsidP="00CE317D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E7C7C" w14:textId="77777777" w:rsidR="00CE317D" w:rsidRPr="004C3F2B" w:rsidRDefault="00CE317D" w:rsidP="00CE317D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A4BE9" w14:textId="77777777" w:rsidR="00CE317D" w:rsidRPr="004C3F2B" w:rsidRDefault="00CE317D" w:rsidP="00CE317D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ED93A" w14:textId="41878BEA" w:rsidR="00CE317D" w:rsidRPr="004C3F2B" w:rsidRDefault="00CE317D" w:rsidP="00CE317D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Iznos povećanja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05228" w14:textId="4F659DA5" w:rsidR="00CE317D" w:rsidRPr="004C3F2B" w:rsidRDefault="00CE317D" w:rsidP="00CE317D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Iznos smanjenja</w:t>
            </w:r>
          </w:p>
        </w:tc>
      </w:tr>
      <w:tr w:rsidR="008A05FA" w:rsidRPr="004C3F2B" w14:paraId="50FCF397" w14:textId="77777777" w:rsidTr="00CE317D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3CE8F5C0" w14:textId="588F4938" w:rsidR="00CE317D" w:rsidRPr="004C3F2B" w:rsidRDefault="00CE317D" w:rsidP="00CE317D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bookmarkStart w:id="5" w:name="_Hlk219976756"/>
            <w:r w:rsidRPr="004C3F2B">
              <w:rPr>
                <w:rFonts w:cs="Times New Roman"/>
                <w:sz w:val="18"/>
                <w:szCs w:val="18"/>
              </w:rPr>
              <w:t>91511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5028998C" w14:textId="5C63A280" w:rsidR="00CE317D" w:rsidRPr="004C3F2B" w:rsidRDefault="00CE317D" w:rsidP="00CE317D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Promjene u vrijednosti nefinancijske imovine (šifre P002 do P007)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40975EAF" w14:textId="31F1250A" w:rsidR="00CE317D" w:rsidRPr="004C3F2B" w:rsidRDefault="00CE317D" w:rsidP="00CE317D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P001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0A183CB7" w14:textId="74E26AB2" w:rsidR="00CE317D" w:rsidRPr="004C3F2B" w:rsidRDefault="003E47E1" w:rsidP="00CE317D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5EDDE37D" w14:textId="68DDA4FF" w:rsidR="00CE317D" w:rsidRPr="004C3F2B" w:rsidRDefault="003E47E1" w:rsidP="00CE317D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4.207,28</w:t>
            </w:r>
          </w:p>
        </w:tc>
      </w:tr>
      <w:bookmarkEnd w:id="5"/>
    </w:tbl>
    <w:p w14:paraId="1319D87A" w14:textId="77777777" w:rsidR="00CE317D" w:rsidRPr="004C3F2B" w:rsidRDefault="00CE317D" w:rsidP="00CE317D">
      <w:pPr>
        <w:spacing w:after="0"/>
        <w:rPr>
          <w:rFonts w:cs="Times New Roman"/>
        </w:rPr>
      </w:pPr>
    </w:p>
    <w:p w14:paraId="12B57DF9" w14:textId="79FCC45D" w:rsidR="00E677AC" w:rsidRPr="004C3F2B" w:rsidRDefault="00997B27" w:rsidP="00FA5FFA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Promjene u vrijednosti nefinancijske imovine bilježe </w:t>
      </w:r>
      <w:r w:rsidR="003E47E1" w:rsidRPr="004C3F2B">
        <w:rPr>
          <w:rFonts w:cs="Times New Roman"/>
        </w:rPr>
        <w:t>smanjenje</w:t>
      </w:r>
      <w:r w:rsidRPr="004C3F2B">
        <w:rPr>
          <w:rFonts w:cs="Times New Roman"/>
        </w:rPr>
        <w:t xml:space="preserve"> od 4.</w:t>
      </w:r>
      <w:r w:rsidR="003E47E1" w:rsidRPr="004C3F2B">
        <w:rPr>
          <w:rFonts w:cs="Times New Roman"/>
        </w:rPr>
        <w:t>207,28</w:t>
      </w:r>
      <w:r w:rsidRPr="004C3F2B">
        <w:rPr>
          <w:rFonts w:cs="Times New Roman"/>
        </w:rPr>
        <w:t xml:space="preserve"> eura, prema strukturi odnosi se na obračunatu amortizaciju za proizvedenu dugotrajnu imovinu</w:t>
      </w:r>
      <w:r w:rsidR="003E47E1" w:rsidRPr="004C3F2B">
        <w:rPr>
          <w:rFonts w:cs="Times New Roman"/>
        </w:rPr>
        <w:t>.</w:t>
      </w:r>
    </w:p>
    <w:p w14:paraId="4FE923DD" w14:textId="77777777" w:rsidR="00EC7ECD" w:rsidRPr="004C3F2B" w:rsidRDefault="00EC7ECD" w:rsidP="00E677AC">
      <w:pPr>
        <w:keepNext/>
        <w:spacing w:line="240" w:lineRule="auto"/>
        <w:jc w:val="center"/>
        <w:rPr>
          <w:rFonts w:cs="Times New Roman"/>
          <w:b/>
          <w:sz w:val="28"/>
        </w:rPr>
      </w:pPr>
    </w:p>
    <w:p w14:paraId="60D383C7" w14:textId="5613C7E9" w:rsidR="00E677AC" w:rsidRPr="004C3F2B" w:rsidRDefault="00E677AC" w:rsidP="00E677AC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b/>
          <w:sz w:val="28"/>
        </w:rPr>
        <w:t>Izvještaj o obvezama</w:t>
      </w:r>
    </w:p>
    <w:p w14:paraId="2D7359E9" w14:textId="589B543C" w:rsidR="00E677AC" w:rsidRPr="004C3F2B" w:rsidRDefault="00E677AC" w:rsidP="00E677AC">
      <w:pPr>
        <w:keepNext/>
        <w:spacing w:line="240" w:lineRule="auto"/>
        <w:jc w:val="center"/>
        <w:rPr>
          <w:rFonts w:cs="Times New Roman"/>
        </w:rPr>
      </w:pPr>
      <w:r w:rsidRPr="00AF1591">
        <w:rPr>
          <w:rFonts w:cs="Times New Roman"/>
          <w:sz w:val="28"/>
        </w:rPr>
        <w:t xml:space="preserve">Bilješka </w:t>
      </w:r>
      <w:r w:rsidR="00AF1591">
        <w:rPr>
          <w:rFonts w:cs="Times New Roman"/>
          <w:sz w:val="28"/>
        </w:rPr>
        <w:t>40</w:t>
      </w:r>
      <w:r w:rsidRPr="00AF1591">
        <w:rPr>
          <w:rFonts w:cs="Times New Roman"/>
          <w:sz w:val="28"/>
        </w:rPr>
        <w:t>.</w:t>
      </w:r>
    </w:p>
    <w:tbl>
      <w:tblPr>
        <w:tblW w:w="9017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2142"/>
        <w:gridCol w:w="1984"/>
      </w:tblGrid>
      <w:tr w:rsidR="008A05FA" w:rsidRPr="004C3F2B" w14:paraId="63EE6585" w14:textId="77777777" w:rsidTr="00CE317D">
        <w:trPr>
          <w:cantSplit/>
        </w:trPr>
        <w:tc>
          <w:tcPr>
            <w:tcW w:w="883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D19B5" w14:textId="77777777" w:rsidR="00CE317D" w:rsidRPr="004C3F2B" w:rsidRDefault="00CE317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400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01B54" w14:textId="77777777" w:rsidR="00CE317D" w:rsidRPr="004C3F2B" w:rsidRDefault="00CE317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2142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558E8" w14:textId="77777777" w:rsidR="00CE317D" w:rsidRPr="004C3F2B" w:rsidRDefault="00CE317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198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08BA2" w14:textId="77777777" w:rsidR="00CE317D" w:rsidRPr="004C3F2B" w:rsidRDefault="00CE317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Iznos</w:t>
            </w:r>
          </w:p>
        </w:tc>
      </w:tr>
      <w:tr w:rsidR="008A05FA" w:rsidRPr="004C3F2B" w14:paraId="79BCAA39" w14:textId="77777777" w:rsidTr="00CE317D">
        <w:trPr>
          <w:cantSplit/>
          <w:trHeight w:val="560"/>
        </w:trPr>
        <w:tc>
          <w:tcPr>
            <w:tcW w:w="883" w:type="dxa"/>
            <w:tcMar>
              <w:top w:w="0" w:type="dxa"/>
              <w:bottom w:w="0" w:type="dxa"/>
            </w:tcMar>
            <w:vAlign w:val="center"/>
          </w:tcPr>
          <w:p w14:paraId="4BB985D1" w14:textId="77777777" w:rsidR="00CE317D" w:rsidRPr="004C3F2B" w:rsidRDefault="00CE317D" w:rsidP="00CE317D">
            <w:pPr>
              <w:keepNext/>
              <w:keepLine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08" w:type="dxa"/>
            <w:tcMar>
              <w:top w:w="0" w:type="dxa"/>
              <w:bottom w:w="0" w:type="dxa"/>
            </w:tcMar>
            <w:vAlign w:val="center"/>
          </w:tcPr>
          <w:p w14:paraId="274F8F59" w14:textId="266F703F" w:rsidR="00CE317D" w:rsidRPr="004C3F2B" w:rsidRDefault="00CE317D" w:rsidP="00CE317D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Stanje obveza na kraju izvještajnog razdoblja (šifre V001+V002-V004) i (šifre V007+V009)</w:t>
            </w:r>
          </w:p>
        </w:tc>
        <w:tc>
          <w:tcPr>
            <w:tcW w:w="2142" w:type="dxa"/>
            <w:tcMar>
              <w:top w:w="0" w:type="dxa"/>
              <w:bottom w:w="0" w:type="dxa"/>
            </w:tcMar>
            <w:vAlign w:val="center"/>
          </w:tcPr>
          <w:p w14:paraId="323B1CCE" w14:textId="431C3260" w:rsidR="00CE317D" w:rsidRPr="004C3F2B" w:rsidRDefault="00CE317D" w:rsidP="00CE317D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V006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  <w:vAlign w:val="center"/>
          </w:tcPr>
          <w:p w14:paraId="20CCCBA7" w14:textId="764D1D30" w:rsidR="00CE317D" w:rsidRPr="004C3F2B" w:rsidRDefault="009F6C2C" w:rsidP="00CE317D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101.175,70</w:t>
            </w:r>
          </w:p>
        </w:tc>
      </w:tr>
    </w:tbl>
    <w:p w14:paraId="55DB3754" w14:textId="77777777" w:rsidR="00E677AC" w:rsidRPr="004C3F2B" w:rsidRDefault="00E677AC" w:rsidP="00E677AC">
      <w:pPr>
        <w:spacing w:after="0"/>
        <w:rPr>
          <w:rFonts w:cs="Times New Roman"/>
        </w:rPr>
      </w:pPr>
    </w:p>
    <w:p w14:paraId="55E67DA3" w14:textId="09E5FBBE" w:rsidR="00E677AC" w:rsidRPr="004C3F2B" w:rsidRDefault="003E47E1" w:rsidP="00E677AC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Stanje obveza na kraju izvještajnog razdoblja iznosi </w:t>
      </w:r>
      <w:r w:rsidR="009F6C2C" w:rsidRPr="004C3F2B">
        <w:rPr>
          <w:rFonts w:cs="Times New Roman"/>
        </w:rPr>
        <w:t>101.175,70</w:t>
      </w:r>
      <w:r w:rsidRPr="004C3F2B">
        <w:rPr>
          <w:rFonts w:cs="Times New Roman"/>
        </w:rPr>
        <w:t xml:space="preserve"> eura, što ujedno predstavlja i stanje nedospjelih obveza na kraju izvještajnog razdoblja. Prema strukturi sastoje se od </w:t>
      </w:r>
      <w:r w:rsidR="009F6C2C" w:rsidRPr="004C3F2B">
        <w:rPr>
          <w:rFonts w:cs="Times New Roman"/>
        </w:rPr>
        <w:t xml:space="preserve">609,63 </w:t>
      </w:r>
      <w:r w:rsidRPr="004C3F2B">
        <w:rPr>
          <w:rFonts w:cs="Times New Roman"/>
        </w:rPr>
        <w:t>eura međusobnih obveza subjekata općeg proračuna, obveze za rashode poslovanja u iznosu 61.851,87 eura i 38.714,20 eura obveza za EU predujmove</w:t>
      </w:r>
      <w:r w:rsidR="00475DCF" w:rsidRPr="004C3F2B">
        <w:rPr>
          <w:rFonts w:cs="Times New Roman"/>
        </w:rPr>
        <w:t>.</w:t>
      </w:r>
    </w:p>
    <w:p w14:paraId="651D4DE7" w14:textId="77777777" w:rsidR="00CF6D46" w:rsidRPr="004C3F2B" w:rsidRDefault="00CF6D46">
      <w:pPr>
        <w:rPr>
          <w:rFonts w:cs="Times New Roman"/>
        </w:rPr>
      </w:pPr>
    </w:p>
    <w:p w14:paraId="40FF731F" w14:textId="3EBDBB3E" w:rsidR="00CE317D" w:rsidRPr="004C3F2B" w:rsidRDefault="00CE317D" w:rsidP="00CE317D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b/>
          <w:sz w:val="28"/>
        </w:rPr>
        <w:t>EU izvještaj</w:t>
      </w:r>
    </w:p>
    <w:p w14:paraId="2846D8FF" w14:textId="7C5FB3BA" w:rsidR="00CE317D" w:rsidRPr="004C3F2B" w:rsidRDefault="00EC7ECD" w:rsidP="00EC7ECD">
      <w:pPr>
        <w:jc w:val="center"/>
        <w:rPr>
          <w:rFonts w:cs="Times New Roman"/>
          <w:i/>
          <w:iCs/>
        </w:rPr>
      </w:pPr>
      <w:r w:rsidRPr="004C3F2B">
        <w:rPr>
          <w:rFonts w:cs="Times New Roman"/>
          <w:i/>
          <w:iCs/>
        </w:rPr>
        <w:t>EU izvještaji po izvorima financiranja – Nacionalno sufinanciranje</w:t>
      </w:r>
    </w:p>
    <w:p w14:paraId="3E11B68B" w14:textId="1F49FC19" w:rsidR="00EC7ECD" w:rsidRPr="004C3F2B" w:rsidRDefault="00EC7ECD" w:rsidP="00EC7ECD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lastRenderedPageBreak/>
        <w:t xml:space="preserve">Bilješka </w:t>
      </w:r>
      <w:r w:rsidR="009F6C2C" w:rsidRPr="004C3F2B">
        <w:rPr>
          <w:rFonts w:cs="Times New Roman"/>
          <w:sz w:val="28"/>
        </w:rPr>
        <w:t>4</w:t>
      </w:r>
      <w:r w:rsidR="00AF1591">
        <w:rPr>
          <w:rFonts w:cs="Times New Roman"/>
          <w:sz w:val="28"/>
        </w:rPr>
        <w:t>1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8A05FA" w:rsidRPr="004C3F2B" w14:paraId="2E83317B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4C37E" w14:textId="77777777" w:rsidR="00EC7ECD" w:rsidRPr="004C3F2B" w:rsidRDefault="00EC7ECD" w:rsidP="00EC7ECD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CA02E" w14:textId="77777777" w:rsidR="00EC7ECD" w:rsidRPr="004C3F2B" w:rsidRDefault="00EC7ECD" w:rsidP="00EC7ECD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9AB4C" w14:textId="77777777" w:rsidR="00EC7ECD" w:rsidRPr="004C3F2B" w:rsidRDefault="00EC7ECD" w:rsidP="00EC7ECD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D715A" w14:textId="262A5B30" w:rsidR="00EC7ECD" w:rsidRPr="004C3F2B" w:rsidRDefault="00EC7ECD" w:rsidP="00EC7ECD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prethodne godine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27584" w14:textId="07BD7DA8" w:rsidR="00EC7ECD" w:rsidRPr="004C3F2B" w:rsidRDefault="00EC7ECD" w:rsidP="00EC7ECD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tekuće godine</w:t>
            </w:r>
          </w:p>
        </w:tc>
      </w:tr>
      <w:tr w:rsidR="008A05FA" w:rsidRPr="004C3F2B" w14:paraId="253F5FA8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7A0DFE24" w14:textId="7FE241DD" w:rsidR="00EC7ECD" w:rsidRPr="004C3F2B" w:rsidRDefault="00EC7ECD" w:rsidP="00EC7ECD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05DBAFB5" w14:textId="44E53CEF" w:rsidR="00EC7ECD" w:rsidRPr="004C3F2B" w:rsidRDefault="00EC7ECD" w:rsidP="00EC7ECD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PRIHODI POSLOVANJA (šifre 631+632+638+639+671)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57F05359" w14:textId="4D4715B7" w:rsidR="00EC7ECD" w:rsidRPr="004C3F2B" w:rsidRDefault="00EC7ECD" w:rsidP="00EC7ECD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39BA57B2" w14:textId="468B99A8" w:rsidR="00EC7ECD" w:rsidRPr="004C3F2B" w:rsidRDefault="00EC7ECD" w:rsidP="00EC7ECD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3CC323C0" w14:textId="397AD447" w:rsidR="00EC7ECD" w:rsidRPr="004C3F2B" w:rsidRDefault="00EC7ECD" w:rsidP="00EC7ECD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1.154,39</w:t>
            </w:r>
          </w:p>
        </w:tc>
      </w:tr>
    </w:tbl>
    <w:p w14:paraId="0B4580E2" w14:textId="77777777" w:rsidR="00EC7ECD" w:rsidRPr="004C3F2B" w:rsidRDefault="00EC7ECD" w:rsidP="00EC7ECD">
      <w:pPr>
        <w:spacing w:after="0"/>
        <w:rPr>
          <w:rFonts w:cs="Times New Roman"/>
        </w:rPr>
      </w:pPr>
    </w:p>
    <w:p w14:paraId="046E1135" w14:textId="0E02F4E4" w:rsidR="00EC7ECD" w:rsidRPr="004C3F2B" w:rsidRDefault="00EC7ECD" w:rsidP="00EC7ECD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Prihodi od nacionalnog sufinanciranja ostvareni su u visini 1.154,39 eura, a sastoje se od prihoda iz nadležnog proračuna za financiranje rashoda poslovanja u visini 862,09 eura</w:t>
      </w:r>
      <w:r w:rsidR="00B325A3" w:rsidRPr="004C3F2B">
        <w:rPr>
          <w:rFonts w:cs="Times New Roman"/>
        </w:rPr>
        <w:t xml:space="preserve"> za projekte Š(K)OLA 5.0 i </w:t>
      </w:r>
      <w:proofErr w:type="spellStart"/>
      <w:r w:rsidR="00B325A3" w:rsidRPr="004C3F2B">
        <w:rPr>
          <w:rFonts w:cs="Times New Roman"/>
        </w:rPr>
        <w:t>AdriACTIVE</w:t>
      </w:r>
      <w:proofErr w:type="spellEnd"/>
      <w:r w:rsidRPr="004C3F2B">
        <w:rPr>
          <w:rFonts w:cs="Times New Roman"/>
        </w:rPr>
        <w:t xml:space="preserve"> i prihoda iz nadležnog proračuna za financiranje rashoda za nabavu nefinancijske imovine u visini 292,30 eura</w:t>
      </w:r>
      <w:r w:rsidR="00B325A3" w:rsidRPr="004C3F2B">
        <w:rPr>
          <w:rFonts w:cs="Times New Roman"/>
        </w:rPr>
        <w:t xml:space="preserve"> za nabavu VR naočala u sklopu projekta Š(K)OLA 5.0 </w:t>
      </w:r>
      <w:r w:rsidRPr="004C3F2B">
        <w:rPr>
          <w:rFonts w:cs="Times New Roman"/>
        </w:rPr>
        <w:t>.</w:t>
      </w:r>
    </w:p>
    <w:p w14:paraId="214D7DA3" w14:textId="18CAFBDA" w:rsidR="00EC7ECD" w:rsidRPr="004C3F2B" w:rsidRDefault="00EC7ECD" w:rsidP="00EC7ECD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355DEC" w:rsidRPr="004C3F2B">
        <w:rPr>
          <w:rFonts w:cs="Times New Roman"/>
          <w:sz w:val="28"/>
        </w:rPr>
        <w:t>4</w:t>
      </w:r>
      <w:r w:rsidR="00AF1591">
        <w:rPr>
          <w:rFonts w:cs="Times New Roman"/>
          <w:sz w:val="28"/>
        </w:rPr>
        <w:t>2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8A05FA" w:rsidRPr="004C3F2B" w14:paraId="7D793A76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99AA0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DBFBF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1D122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101E3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prethodne godine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210BE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tekuće godine</w:t>
            </w:r>
          </w:p>
        </w:tc>
      </w:tr>
      <w:tr w:rsidR="008A05FA" w:rsidRPr="004C3F2B" w14:paraId="0AF547DB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2EC4C139" w14:textId="3D3DE139" w:rsidR="00B325A3" w:rsidRPr="004C3F2B" w:rsidRDefault="00B325A3" w:rsidP="00B325A3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4D356107" w14:textId="42F60395" w:rsidR="00B325A3" w:rsidRPr="004C3F2B" w:rsidRDefault="00B325A3" w:rsidP="00B325A3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 xml:space="preserve">RASHODI POSLOVANJA (šifre 31+32+34+35+36+37+38) 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13D821A9" w14:textId="204BACAA" w:rsidR="00B325A3" w:rsidRPr="004C3F2B" w:rsidRDefault="00B325A3" w:rsidP="00B325A3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65901B3F" w14:textId="3269990E" w:rsidR="00B325A3" w:rsidRPr="004C3F2B" w:rsidRDefault="00B325A3" w:rsidP="00B325A3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64722B55" w14:textId="54E4D4C2" w:rsidR="00B325A3" w:rsidRPr="004C3F2B" w:rsidRDefault="00B325A3" w:rsidP="00B325A3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1.192,61</w:t>
            </w:r>
          </w:p>
        </w:tc>
      </w:tr>
    </w:tbl>
    <w:p w14:paraId="2AE336EB" w14:textId="77777777" w:rsidR="00B325A3" w:rsidRPr="004C3F2B" w:rsidRDefault="00B325A3" w:rsidP="00EC7ECD">
      <w:pPr>
        <w:spacing w:line="240" w:lineRule="auto"/>
        <w:jc w:val="both"/>
        <w:rPr>
          <w:rFonts w:cs="Times New Roman"/>
        </w:rPr>
      </w:pPr>
    </w:p>
    <w:p w14:paraId="3EF0D97D" w14:textId="16F38D91" w:rsidR="00B741A3" w:rsidRPr="004C3F2B" w:rsidRDefault="00B325A3" w:rsidP="00EC7ECD">
      <w:pPr>
        <w:spacing w:line="240" w:lineRule="auto"/>
        <w:jc w:val="both"/>
        <w:rPr>
          <w:rFonts w:cs="Times New Roman"/>
        </w:rPr>
      </w:pPr>
      <w:bookmarkStart w:id="6" w:name="_Hlk220069117"/>
      <w:r w:rsidRPr="004C3F2B">
        <w:rPr>
          <w:rFonts w:cs="Times New Roman"/>
        </w:rPr>
        <w:t xml:space="preserve">Rashodi poslovanja koji su sufinancirani od strane PGŽ nastali su unutar dva projekta Š(K)OLA 5.0 i </w:t>
      </w:r>
      <w:proofErr w:type="spellStart"/>
      <w:r w:rsidRPr="004C3F2B">
        <w:rPr>
          <w:rFonts w:cs="Times New Roman"/>
        </w:rPr>
        <w:t>AdriACTIVE</w:t>
      </w:r>
      <w:proofErr w:type="spellEnd"/>
      <w:r w:rsidRPr="004C3F2B">
        <w:rPr>
          <w:rFonts w:cs="Times New Roman"/>
        </w:rPr>
        <w:t xml:space="preserve">. Rashodi za projekt </w:t>
      </w:r>
      <w:proofErr w:type="spellStart"/>
      <w:r w:rsidRPr="004C3F2B">
        <w:rPr>
          <w:rFonts w:cs="Times New Roman"/>
        </w:rPr>
        <w:t>AdriACTIVE</w:t>
      </w:r>
      <w:proofErr w:type="spellEnd"/>
      <w:r w:rsidRPr="004C3F2B">
        <w:rPr>
          <w:rFonts w:cs="Times New Roman"/>
        </w:rPr>
        <w:t xml:space="preserve"> evidentirani su na Rashodima za zaposlene u visini 325,72 eura (bruto plaće i doprinosi) i naknadama troškova zaposlenima za nak</w:t>
      </w:r>
      <w:r w:rsidR="00482236" w:rsidRPr="004C3F2B">
        <w:rPr>
          <w:rFonts w:cs="Times New Roman"/>
        </w:rPr>
        <w:t>n</w:t>
      </w:r>
      <w:r w:rsidRPr="004C3F2B">
        <w:rPr>
          <w:rFonts w:cs="Times New Roman"/>
        </w:rPr>
        <w:t xml:space="preserve">adu za prijevoz </w:t>
      </w:r>
      <w:r w:rsidR="00B741A3" w:rsidRPr="004C3F2B">
        <w:rPr>
          <w:rFonts w:cs="Times New Roman"/>
        </w:rPr>
        <w:t>na posao i s pola u visini 4,80 eura i službena putovanja u visini 60,74 eura. Preostali rashodi poslovanja nastali su u okviru projekta Š(K)OLA 5. Troškove koje je sufinancirala PGŽ odnose se na usluge telefona, interneta, pošte i prijevoza u visini 130,00 eura, usluge promidžbe i informiranja u visini 225,60 eura, zakupnine i najamnine u visini 66,25 eura, intelektualne i osobne usluge u visini 187,50 eura i troškova reprezentacije u visini 192,00 eura, u ukupnom iznosu od 801,35 eura.</w:t>
      </w:r>
    </w:p>
    <w:p w14:paraId="199D4DB4" w14:textId="4FF2FDC2" w:rsidR="0000129E" w:rsidRPr="004C3F2B" w:rsidRDefault="0000129E" w:rsidP="0000129E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C05FA8" w:rsidRPr="004C3F2B">
        <w:rPr>
          <w:rFonts w:cs="Times New Roman"/>
          <w:sz w:val="28"/>
        </w:rPr>
        <w:t>4</w:t>
      </w:r>
      <w:r w:rsidR="00AF1591">
        <w:rPr>
          <w:rFonts w:cs="Times New Roman"/>
          <w:sz w:val="28"/>
        </w:rPr>
        <w:t>3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00129E" w:rsidRPr="004C3F2B" w14:paraId="3B4DFA53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A9ED3" w14:textId="77777777" w:rsidR="0000129E" w:rsidRPr="004C3F2B" w:rsidRDefault="0000129E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BD37B" w14:textId="77777777" w:rsidR="0000129E" w:rsidRPr="004C3F2B" w:rsidRDefault="0000129E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CCC75" w14:textId="77777777" w:rsidR="0000129E" w:rsidRPr="004C3F2B" w:rsidRDefault="0000129E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C75E0" w14:textId="77777777" w:rsidR="0000129E" w:rsidRPr="004C3F2B" w:rsidRDefault="0000129E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prethodne godine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2F641" w14:textId="77777777" w:rsidR="0000129E" w:rsidRPr="004C3F2B" w:rsidRDefault="0000129E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tekuće godine</w:t>
            </w:r>
          </w:p>
        </w:tc>
      </w:tr>
      <w:tr w:rsidR="0000129E" w:rsidRPr="004C3F2B" w14:paraId="03670A9E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39890C68" w14:textId="593285B1" w:rsidR="0000129E" w:rsidRPr="004C3F2B" w:rsidRDefault="0000129E" w:rsidP="0000129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59ADCBD8" w14:textId="64E530EC" w:rsidR="0000129E" w:rsidRPr="004C3F2B" w:rsidRDefault="0000129E" w:rsidP="0000129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Rashodi za nabavu nefinancijske imovine (šifre 41+42+43+44+45)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7B72040B" w14:textId="64A307FE" w:rsidR="0000129E" w:rsidRPr="004C3F2B" w:rsidRDefault="0000129E" w:rsidP="0000129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60120D62" w14:textId="264F1600" w:rsidR="0000129E" w:rsidRPr="004C3F2B" w:rsidRDefault="0000129E" w:rsidP="0000129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2F985E51" w14:textId="0480DFE4" w:rsidR="0000129E" w:rsidRPr="004C3F2B" w:rsidRDefault="0000129E" w:rsidP="0000129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292,30</w:t>
            </w:r>
          </w:p>
        </w:tc>
      </w:tr>
    </w:tbl>
    <w:p w14:paraId="230F03ED" w14:textId="77777777" w:rsidR="0000129E" w:rsidRPr="004C3F2B" w:rsidRDefault="0000129E" w:rsidP="0000129E">
      <w:pPr>
        <w:spacing w:line="240" w:lineRule="auto"/>
        <w:jc w:val="both"/>
        <w:rPr>
          <w:rFonts w:cs="Times New Roman"/>
        </w:rPr>
      </w:pPr>
    </w:p>
    <w:p w14:paraId="12165B3D" w14:textId="28455FFC" w:rsidR="0000129E" w:rsidRPr="004C3F2B" w:rsidRDefault="0000129E" w:rsidP="0000129E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Rashodi poslovanja za nabavu nefinancijske imovine </w:t>
      </w:r>
      <w:r w:rsidR="00C05FA8" w:rsidRPr="004C3F2B">
        <w:rPr>
          <w:rFonts w:cs="Times New Roman"/>
        </w:rPr>
        <w:t>sufinancirani su u</w:t>
      </w:r>
      <w:r w:rsidRPr="004C3F2B">
        <w:rPr>
          <w:rFonts w:cs="Times New Roman"/>
        </w:rPr>
        <w:t xml:space="preserve"> visini 292,30 eura ostvareni su unutar projekta Š(K)OLA 5.0</w:t>
      </w:r>
      <w:r w:rsidR="00C05FA8" w:rsidRPr="004C3F2B">
        <w:rPr>
          <w:rFonts w:cs="Times New Roman"/>
        </w:rPr>
        <w:t xml:space="preserve"> za nabavu VR naočala.</w:t>
      </w:r>
    </w:p>
    <w:p w14:paraId="7626A8D3" w14:textId="77777777" w:rsidR="0000129E" w:rsidRPr="004C3F2B" w:rsidRDefault="0000129E" w:rsidP="00EC7ECD">
      <w:pPr>
        <w:spacing w:line="240" w:lineRule="auto"/>
        <w:jc w:val="both"/>
        <w:rPr>
          <w:rFonts w:cs="Times New Roman"/>
        </w:rPr>
      </w:pPr>
    </w:p>
    <w:bookmarkEnd w:id="6"/>
    <w:p w14:paraId="23BAD957" w14:textId="1F355E60" w:rsidR="00EC7ECD" w:rsidRPr="004C3F2B" w:rsidRDefault="00EC7ECD" w:rsidP="00EC7ECD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lastRenderedPageBreak/>
        <w:t xml:space="preserve">Bilješka </w:t>
      </w:r>
      <w:r w:rsidR="00B741A3" w:rsidRPr="004C3F2B">
        <w:rPr>
          <w:rFonts w:cs="Times New Roman"/>
          <w:sz w:val="28"/>
        </w:rPr>
        <w:t>4</w:t>
      </w:r>
      <w:r w:rsidR="00AF1591">
        <w:rPr>
          <w:rFonts w:cs="Times New Roman"/>
          <w:sz w:val="28"/>
        </w:rPr>
        <w:t>4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8A05FA" w:rsidRPr="004C3F2B" w14:paraId="1182DABA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0A915" w14:textId="77777777" w:rsidR="00B741A3" w:rsidRPr="004C3F2B" w:rsidRDefault="00B741A3" w:rsidP="00B741A3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37999" w14:textId="77777777" w:rsidR="00B741A3" w:rsidRPr="004C3F2B" w:rsidRDefault="00B741A3" w:rsidP="00B741A3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CBCCB" w14:textId="77777777" w:rsidR="00B741A3" w:rsidRPr="004C3F2B" w:rsidRDefault="00B741A3" w:rsidP="00B741A3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3AC43" w14:textId="49886D1A" w:rsidR="00B741A3" w:rsidRPr="004C3F2B" w:rsidRDefault="00B741A3" w:rsidP="00B741A3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prvi dan izvještajnog razdoblja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44B1F" w14:textId="37201788" w:rsidR="00B741A3" w:rsidRPr="004C3F2B" w:rsidRDefault="00B741A3" w:rsidP="00B741A3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zadnji dan izvještajnog razdoblja</w:t>
            </w:r>
          </w:p>
        </w:tc>
      </w:tr>
      <w:tr w:rsidR="008A05FA" w:rsidRPr="004C3F2B" w14:paraId="0B12E5EB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640DCBCA" w14:textId="1E86EDD1" w:rsidR="00B741A3" w:rsidRPr="004C3F2B" w:rsidRDefault="00B741A3" w:rsidP="00B741A3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99171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004FE365" w14:textId="6AF7C4A1" w:rsidR="00B741A3" w:rsidRPr="004C3F2B" w:rsidRDefault="00B741A3" w:rsidP="00B741A3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 xml:space="preserve">Potraživanja po ugovorima o dodijeljenim bespovratnim sredstvima iz EU fondova 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13D35975" w14:textId="1E533F78" w:rsidR="00B741A3" w:rsidRPr="004C3F2B" w:rsidRDefault="00B741A3" w:rsidP="00B741A3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99171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2E1BA716" w14:textId="486AB595" w:rsidR="00B741A3" w:rsidRPr="004C3F2B" w:rsidRDefault="00B741A3" w:rsidP="00B741A3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75E5C712" w14:textId="5EB72A43" w:rsidR="00B741A3" w:rsidRPr="004C3F2B" w:rsidRDefault="00B741A3" w:rsidP="00B741A3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90.325,20</w:t>
            </w:r>
          </w:p>
        </w:tc>
      </w:tr>
    </w:tbl>
    <w:p w14:paraId="6F0B1CE5" w14:textId="77777777" w:rsidR="00EC7ECD" w:rsidRPr="004C3F2B" w:rsidRDefault="00EC7ECD" w:rsidP="00EC7ECD">
      <w:pPr>
        <w:spacing w:after="0"/>
        <w:rPr>
          <w:rFonts w:cs="Times New Roman"/>
        </w:rPr>
      </w:pPr>
    </w:p>
    <w:p w14:paraId="186063B2" w14:textId="376BC80F" w:rsidR="00EC7ECD" w:rsidRPr="004C3F2B" w:rsidRDefault="00B741A3" w:rsidP="00EC7ECD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Na 31.</w:t>
      </w:r>
      <w:r w:rsidR="001809AA" w:rsidRPr="004C3F2B">
        <w:rPr>
          <w:rFonts w:cs="Times New Roman"/>
        </w:rPr>
        <w:t>prosinca</w:t>
      </w:r>
      <w:r w:rsidR="00A6057A" w:rsidRPr="004C3F2B">
        <w:rPr>
          <w:rFonts w:cs="Times New Roman"/>
        </w:rPr>
        <w:t xml:space="preserve"> </w:t>
      </w:r>
      <w:r w:rsidRPr="004C3F2B">
        <w:rPr>
          <w:rFonts w:cs="Times New Roman"/>
        </w:rPr>
        <w:t>2025</w:t>
      </w:r>
      <w:r w:rsidR="007579CA" w:rsidRPr="004C3F2B">
        <w:rPr>
          <w:rFonts w:cs="Times New Roman"/>
        </w:rPr>
        <w:t>.</w:t>
      </w:r>
      <w:r w:rsidRPr="004C3F2B">
        <w:rPr>
          <w:rFonts w:cs="Times New Roman"/>
        </w:rPr>
        <w:t xml:space="preserve"> godine u izvanbilančnim zapisima potraživanja po ugovor</w:t>
      </w:r>
      <w:r w:rsidR="007579CA" w:rsidRPr="004C3F2B">
        <w:rPr>
          <w:rFonts w:cs="Times New Roman"/>
        </w:rPr>
        <w:t>ima</w:t>
      </w:r>
      <w:r w:rsidRPr="004C3F2B">
        <w:rPr>
          <w:rFonts w:cs="Times New Roman"/>
        </w:rPr>
        <w:t xml:space="preserve"> o dodijeljenim bespovratnim sredstvima iz EU fondova, a da su sufinancirani od strane PGŽ iznose  90.325,20 eura. Za projekt  Š(K)OLA 5.0 potraživanje po ugovoru iznosi 1.587,20 eura, za </w:t>
      </w:r>
      <w:proofErr w:type="spellStart"/>
      <w:r w:rsidRPr="004C3F2B">
        <w:rPr>
          <w:rFonts w:cs="Times New Roman"/>
        </w:rPr>
        <w:t>AdriACTIVE</w:t>
      </w:r>
      <w:proofErr w:type="spellEnd"/>
      <w:r w:rsidRPr="004C3F2B">
        <w:rPr>
          <w:rFonts w:cs="Times New Roman"/>
        </w:rPr>
        <w:t xml:space="preserve"> 78.738,00 eura te za novi projekt EUROPE DIRECT PGŽ 10.000,00 eura.</w:t>
      </w:r>
    </w:p>
    <w:p w14:paraId="69B0F753" w14:textId="77777777" w:rsidR="00B741A3" w:rsidRPr="004C3F2B" w:rsidRDefault="00B741A3" w:rsidP="00EC7ECD">
      <w:pPr>
        <w:spacing w:line="240" w:lineRule="auto"/>
        <w:jc w:val="both"/>
        <w:rPr>
          <w:rFonts w:cs="Times New Roman"/>
        </w:rPr>
      </w:pPr>
    </w:p>
    <w:p w14:paraId="41608BA7" w14:textId="712F311A" w:rsidR="00B741A3" w:rsidRPr="004C3F2B" w:rsidRDefault="00B741A3" w:rsidP="00B741A3">
      <w:pPr>
        <w:jc w:val="center"/>
        <w:rPr>
          <w:rFonts w:cs="Times New Roman"/>
          <w:i/>
          <w:iCs/>
        </w:rPr>
      </w:pPr>
      <w:r w:rsidRPr="004C3F2B">
        <w:rPr>
          <w:rFonts w:cs="Times New Roman"/>
          <w:i/>
          <w:iCs/>
        </w:rPr>
        <w:t>EU izvještaji po izvorima financiranja – 510 Programi unije</w:t>
      </w:r>
    </w:p>
    <w:p w14:paraId="7DDD3A82" w14:textId="77777777" w:rsidR="00B741A3" w:rsidRPr="004C3F2B" w:rsidRDefault="00B741A3" w:rsidP="00EC7ECD">
      <w:pPr>
        <w:spacing w:line="240" w:lineRule="auto"/>
        <w:jc w:val="both"/>
        <w:rPr>
          <w:rFonts w:cs="Times New Roman"/>
        </w:rPr>
      </w:pPr>
    </w:p>
    <w:p w14:paraId="44DD69B9" w14:textId="0778A135" w:rsidR="00EC7ECD" w:rsidRPr="004C3F2B" w:rsidRDefault="00EC7ECD" w:rsidP="00EC7ECD">
      <w:pPr>
        <w:keepNext/>
        <w:spacing w:line="240" w:lineRule="auto"/>
        <w:jc w:val="center"/>
        <w:rPr>
          <w:rFonts w:cs="Times New Roman"/>
        </w:rPr>
      </w:pPr>
      <w:r w:rsidRPr="00B8355D">
        <w:rPr>
          <w:rFonts w:cs="Times New Roman"/>
          <w:sz w:val="28"/>
        </w:rPr>
        <w:t xml:space="preserve">Bilješka </w:t>
      </w:r>
      <w:r w:rsidR="00B741A3" w:rsidRPr="00B8355D">
        <w:rPr>
          <w:rFonts w:cs="Times New Roman"/>
          <w:sz w:val="28"/>
        </w:rPr>
        <w:t>4</w:t>
      </w:r>
      <w:r w:rsidR="00AF1591" w:rsidRPr="00B8355D">
        <w:rPr>
          <w:rFonts w:cs="Times New Roman"/>
          <w:sz w:val="28"/>
        </w:rPr>
        <w:t>5</w:t>
      </w:r>
      <w:r w:rsidRPr="00B8355D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8A05FA" w:rsidRPr="004C3F2B" w14:paraId="71584144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DB1AC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62106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DC1AA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B7279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prethodne godine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34C06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tekuće godine</w:t>
            </w:r>
          </w:p>
        </w:tc>
      </w:tr>
      <w:tr w:rsidR="008A05FA" w:rsidRPr="004C3F2B" w14:paraId="3581F4F6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61CCCBA8" w14:textId="77777777" w:rsidR="00EC7ECD" w:rsidRPr="004C3F2B" w:rsidRDefault="00EC7ECD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08ADD2E9" w14:textId="77777777" w:rsidR="00EC7ECD" w:rsidRPr="004C3F2B" w:rsidRDefault="00EC7ECD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PRIHODI POSLOVANJA (šifre 631+632+638+639+671)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0F80F72F" w14:textId="77777777" w:rsidR="00EC7ECD" w:rsidRPr="004C3F2B" w:rsidRDefault="00EC7ECD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619784F0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0CD3D43E" w14:textId="47BBAD55" w:rsidR="00EC7ECD" w:rsidRPr="004C3F2B" w:rsidRDefault="0073515A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25.313,20</w:t>
            </w:r>
          </w:p>
        </w:tc>
      </w:tr>
    </w:tbl>
    <w:p w14:paraId="559F622C" w14:textId="77777777" w:rsidR="00EC7ECD" w:rsidRPr="004C3F2B" w:rsidRDefault="00EC7ECD" w:rsidP="00EC7ECD">
      <w:pPr>
        <w:spacing w:after="0"/>
        <w:rPr>
          <w:rFonts w:cs="Times New Roman"/>
        </w:rPr>
      </w:pPr>
    </w:p>
    <w:p w14:paraId="5E8625E6" w14:textId="1D18F0DA" w:rsidR="00EC7ECD" w:rsidRPr="004C3F2B" w:rsidRDefault="0073515A" w:rsidP="00EC7ECD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Prihodi poslovanja ostvareni iz programa unije po izvoru 510 ostvareni su u visini 25.313,20 eura. Prihod je ostvaren od tekuće pomoći od </w:t>
      </w:r>
      <w:r w:rsidR="00AF1591">
        <w:rPr>
          <w:rFonts w:cs="Times New Roman"/>
        </w:rPr>
        <w:t>inozemnih vlada u EU</w:t>
      </w:r>
      <w:r w:rsidRPr="004C3F2B">
        <w:rPr>
          <w:rFonts w:cs="Times New Roman"/>
        </w:rPr>
        <w:t xml:space="preserve"> u visini 24.037,75, točnije po završnom izvješću projekta CAREER GARDEN u visini 16.827,15 eura i jedna rata iz projekta BUSSINES GO VIRAL u visini 7.210,60 eura i </w:t>
      </w:r>
      <w:proofErr w:type="spellStart"/>
      <w:r w:rsidRPr="004C3F2B">
        <w:rPr>
          <w:rFonts w:cs="Times New Roman"/>
        </w:rPr>
        <w:t>predfinanciranja</w:t>
      </w:r>
      <w:proofErr w:type="spellEnd"/>
      <w:r w:rsidRPr="004C3F2B">
        <w:rPr>
          <w:rFonts w:cs="Times New Roman"/>
        </w:rPr>
        <w:t xml:space="preserve"> od strane PGŽ za projekt BUSSINES GO VIRAL u visini 1.275,45 eura.</w:t>
      </w:r>
    </w:p>
    <w:p w14:paraId="42FE413F" w14:textId="77777777" w:rsidR="0073515A" w:rsidRPr="004C3F2B" w:rsidRDefault="0073515A" w:rsidP="00EC7ECD">
      <w:pPr>
        <w:spacing w:line="240" w:lineRule="auto"/>
        <w:jc w:val="both"/>
        <w:rPr>
          <w:rFonts w:cs="Times New Roman"/>
        </w:rPr>
      </w:pPr>
    </w:p>
    <w:p w14:paraId="5B68C251" w14:textId="107F32FC" w:rsidR="00EC7ECD" w:rsidRPr="004C3F2B" w:rsidRDefault="00EC7ECD" w:rsidP="00EC7ECD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73515A" w:rsidRPr="004C3F2B">
        <w:rPr>
          <w:rFonts w:cs="Times New Roman"/>
          <w:sz w:val="28"/>
        </w:rPr>
        <w:t>4</w:t>
      </w:r>
      <w:r w:rsidR="00AF1591">
        <w:rPr>
          <w:rFonts w:cs="Times New Roman"/>
          <w:sz w:val="28"/>
        </w:rPr>
        <w:t>6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8A05FA" w:rsidRPr="004C3F2B" w14:paraId="366453F5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38E7E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E554A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A9F5E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0CEC9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prethodne godine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9D59A" w14:textId="77777777" w:rsidR="00EC7ECD" w:rsidRPr="004C3F2B" w:rsidRDefault="00EC7ECD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tekuće godine</w:t>
            </w:r>
          </w:p>
        </w:tc>
      </w:tr>
      <w:tr w:rsidR="008A05FA" w:rsidRPr="004C3F2B" w14:paraId="42A6EB89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41F59DC5" w14:textId="5B2B40EE" w:rsidR="0073515A" w:rsidRPr="004C3F2B" w:rsidRDefault="0073515A" w:rsidP="0073515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06B25826" w14:textId="730F896F" w:rsidR="0073515A" w:rsidRPr="004C3F2B" w:rsidRDefault="0073515A" w:rsidP="0073515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 xml:space="preserve">RASHODI POSLOVANJA (šifre 31+32+34+35+36+37+38) 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02EC6B85" w14:textId="605142E9" w:rsidR="0073515A" w:rsidRPr="004C3F2B" w:rsidRDefault="0073515A" w:rsidP="0073515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42E58C42" w14:textId="707131B0" w:rsidR="0073515A" w:rsidRPr="004C3F2B" w:rsidRDefault="0073515A" w:rsidP="0073515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7B4289A1" w14:textId="37034E8D" w:rsidR="0073515A" w:rsidRPr="004C3F2B" w:rsidRDefault="0073515A" w:rsidP="0073515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34.083,09</w:t>
            </w:r>
          </w:p>
        </w:tc>
      </w:tr>
    </w:tbl>
    <w:p w14:paraId="18A6BEF6" w14:textId="77777777" w:rsidR="00EC7ECD" w:rsidRPr="004C3F2B" w:rsidRDefault="00EC7ECD" w:rsidP="00EC7ECD">
      <w:pPr>
        <w:spacing w:after="0"/>
        <w:rPr>
          <w:rFonts w:cs="Times New Roman"/>
        </w:rPr>
      </w:pPr>
    </w:p>
    <w:p w14:paraId="7CD51D16" w14:textId="7D6326FD" w:rsidR="0073515A" w:rsidRPr="004C3F2B" w:rsidRDefault="0073515A" w:rsidP="0073515A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Rashodi poslovanja koji su ostvareni u izvještajnom razdoblju tekuće godine po izvoru 510 iznose 34.083,09 eura. Sastoje se od rashoda za zaposlene u visini 28</w:t>
      </w:r>
      <w:r w:rsidR="008A05FA" w:rsidRPr="004C3F2B">
        <w:rPr>
          <w:rFonts w:cs="Times New Roman"/>
        </w:rPr>
        <w:t>.</w:t>
      </w:r>
      <w:r w:rsidRPr="004C3F2B">
        <w:rPr>
          <w:rFonts w:cs="Times New Roman"/>
        </w:rPr>
        <w:t xml:space="preserve">254,90 eura, </w:t>
      </w:r>
      <w:r w:rsidR="008A05FA" w:rsidRPr="004C3F2B">
        <w:rPr>
          <w:rFonts w:cs="Times New Roman"/>
        </w:rPr>
        <w:t xml:space="preserve">11.125,26 </w:t>
      </w:r>
      <w:r w:rsidRPr="004C3F2B">
        <w:rPr>
          <w:rFonts w:cs="Times New Roman"/>
        </w:rPr>
        <w:t xml:space="preserve">eura nastalo je po projektu BUSINESS GO VIRAL, dok je ostvareno 17.129,64 eura rashoda </w:t>
      </w:r>
      <w:r w:rsidR="008A05FA" w:rsidRPr="004C3F2B">
        <w:rPr>
          <w:rFonts w:cs="Times New Roman"/>
        </w:rPr>
        <w:t>za zaposlene po projektu INNO2MARE. Nadalje, materijalnih rashoda u visini 5.388,19 eura i to rashoda za službena putovanja u visini 4.988,19 eura (3.482,60 eura projekt BUSINESS GO VIRAL i 1.505,59 eura INNO2MARE), rashoda za stručno usavršavanje zaposlenika u visini 400,00 eura po projektu INNO2MARE i troška reprezentacije iz istog projekta u visini 440,00 eura.</w:t>
      </w:r>
    </w:p>
    <w:p w14:paraId="134BD9C4" w14:textId="0A1A99FC" w:rsidR="00EC7ECD" w:rsidRPr="004C3F2B" w:rsidRDefault="00EC7ECD" w:rsidP="00EC7ECD">
      <w:pPr>
        <w:keepNext/>
        <w:spacing w:line="240" w:lineRule="auto"/>
        <w:jc w:val="center"/>
        <w:rPr>
          <w:rFonts w:cs="Times New Roman"/>
        </w:rPr>
      </w:pPr>
      <w:r w:rsidRPr="00B8355D">
        <w:rPr>
          <w:rFonts w:cs="Times New Roman"/>
          <w:sz w:val="28"/>
        </w:rPr>
        <w:lastRenderedPageBreak/>
        <w:t xml:space="preserve">Bilješka </w:t>
      </w:r>
      <w:r w:rsidR="008A05FA" w:rsidRPr="00B8355D">
        <w:rPr>
          <w:rFonts w:cs="Times New Roman"/>
          <w:sz w:val="28"/>
        </w:rPr>
        <w:t>4</w:t>
      </w:r>
      <w:r w:rsidR="00AF1591" w:rsidRPr="00B8355D">
        <w:rPr>
          <w:rFonts w:cs="Times New Roman"/>
          <w:sz w:val="28"/>
        </w:rPr>
        <w:t>7</w:t>
      </w:r>
      <w:r w:rsidRPr="00B8355D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8A05FA" w:rsidRPr="004C3F2B" w14:paraId="63B0A6DA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DFA2F" w14:textId="77777777" w:rsidR="008A05FA" w:rsidRPr="004C3F2B" w:rsidRDefault="008A05FA" w:rsidP="008A05F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3CFF0" w14:textId="77777777" w:rsidR="008A05FA" w:rsidRPr="004C3F2B" w:rsidRDefault="008A05FA" w:rsidP="008A05F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D157B" w14:textId="77777777" w:rsidR="008A05FA" w:rsidRPr="004C3F2B" w:rsidRDefault="008A05FA" w:rsidP="008A05F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E1415" w14:textId="0F076ACC" w:rsidR="008A05FA" w:rsidRPr="004C3F2B" w:rsidRDefault="008A05FA" w:rsidP="008A05F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prvi dan izvještajnog razdoblja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541F9" w14:textId="44FC36D5" w:rsidR="008A05FA" w:rsidRPr="004C3F2B" w:rsidRDefault="008A05FA" w:rsidP="008A05F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zadnji dan izvještajnog razdoblja</w:t>
            </w:r>
          </w:p>
        </w:tc>
      </w:tr>
      <w:tr w:rsidR="00E32818" w:rsidRPr="004C3F2B" w14:paraId="76673BC9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0AFDD848" w14:textId="7DA2B377" w:rsidR="00E32818" w:rsidRPr="00E32818" w:rsidRDefault="00E32818" w:rsidP="00E32818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E32818">
              <w:rPr>
                <w:rFonts w:cs="Times New Roman"/>
                <w:sz w:val="18"/>
                <w:szCs w:val="18"/>
              </w:rPr>
              <w:t>16311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475F08E3" w14:textId="5A69ADC3" w:rsidR="00E32818" w:rsidRPr="00E32818" w:rsidRDefault="00E32818" w:rsidP="00E32818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E32818">
              <w:rPr>
                <w:rFonts w:cs="Times New Roman"/>
                <w:sz w:val="18"/>
                <w:szCs w:val="18"/>
              </w:rPr>
              <w:t>Potraživanja za tekuće pomoći od inozemnih vlada u EU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23E4D84A" w14:textId="4BE46E5C" w:rsidR="00E32818" w:rsidRPr="00E32818" w:rsidRDefault="00E32818" w:rsidP="00E32818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E32818">
              <w:rPr>
                <w:rFonts w:cs="Times New Roman"/>
                <w:b/>
                <w:bCs/>
                <w:sz w:val="18"/>
                <w:szCs w:val="18"/>
              </w:rPr>
              <w:t>16311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1D4A50F9" w14:textId="33BD6593" w:rsidR="00E32818" w:rsidRPr="00E32818" w:rsidRDefault="00E32818" w:rsidP="00E32818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E32818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47111BE0" w14:textId="72D1C1AB" w:rsidR="00E32818" w:rsidRPr="00E32818" w:rsidRDefault="00E32818" w:rsidP="00E32818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E32818">
              <w:rPr>
                <w:rFonts w:cs="Times New Roman"/>
                <w:sz w:val="16"/>
                <w:szCs w:val="16"/>
              </w:rPr>
              <w:t>4.032,50</w:t>
            </w:r>
          </w:p>
        </w:tc>
      </w:tr>
    </w:tbl>
    <w:p w14:paraId="716D7EEF" w14:textId="77777777" w:rsidR="00EC7ECD" w:rsidRPr="004C3F2B" w:rsidRDefault="00EC7ECD" w:rsidP="00EC7ECD">
      <w:pPr>
        <w:spacing w:after="0"/>
        <w:rPr>
          <w:rFonts w:cs="Times New Roman"/>
        </w:rPr>
      </w:pPr>
    </w:p>
    <w:p w14:paraId="5B266808" w14:textId="61C78BB8" w:rsidR="00EB444A" w:rsidRPr="004C3F2B" w:rsidRDefault="00EB444A" w:rsidP="00EB444A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Potraživanja za pomoći od </w:t>
      </w:r>
      <w:r w:rsidR="00E32818">
        <w:rPr>
          <w:rFonts w:cs="Times New Roman"/>
        </w:rPr>
        <w:t>inozemnih vlada u EU</w:t>
      </w:r>
      <w:r w:rsidRPr="004C3F2B">
        <w:rPr>
          <w:rFonts w:cs="Times New Roman"/>
        </w:rPr>
        <w:t xml:space="preserve"> na 31. prosinca iznose 4.032,50 eura, a odnose se na potraživanje po završnom izviješću projekta BUSSINES GO VIRAL.</w:t>
      </w:r>
    </w:p>
    <w:p w14:paraId="0D14A5DC" w14:textId="77777777" w:rsidR="00EB444A" w:rsidRPr="004C3F2B" w:rsidRDefault="00EB444A" w:rsidP="00EB444A">
      <w:pPr>
        <w:spacing w:line="240" w:lineRule="auto"/>
        <w:jc w:val="both"/>
        <w:rPr>
          <w:rFonts w:cs="Times New Roman"/>
        </w:rPr>
      </w:pPr>
    </w:p>
    <w:p w14:paraId="2046CAE1" w14:textId="2A102620" w:rsidR="00EC7ECD" w:rsidRPr="004C3F2B" w:rsidRDefault="00EC7ECD" w:rsidP="00EB444A">
      <w:pPr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EB444A" w:rsidRPr="004C3F2B">
        <w:rPr>
          <w:rFonts w:cs="Times New Roman"/>
          <w:sz w:val="28"/>
        </w:rPr>
        <w:t>4</w:t>
      </w:r>
      <w:r w:rsidR="00E32818">
        <w:rPr>
          <w:rFonts w:cs="Times New Roman"/>
          <w:sz w:val="28"/>
        </w:rPr>
        <w:t>8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EB444A" w:rsidRPr="004C3F2B" w14:paraId="68DF9C97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1EB1C" w14:textId="77777777" w:rsidR="00EB444A" w:rsidRPr="004C3F2B" w:rsidRDefault="00EB444A" w:rsidP="00EB444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5750D" w14:textId="77777777" w:rsidR="00EB444A" w:rsidRPr="004C3F2B" w:rsidRDefault="00EB444A" w:rsidP="00EB444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8526E" w14:textId="77777777" w:rsidR="00EB444A" w:rsidRPr="004C3F2B" w:rsidRDefault="00EB444A" w:rsidP="00EB444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F3694" w14:textId="46D81113" w:rsidR="00EB444A" w:rsidRPr="004C3F2B" w:rsidRDefault="00EB444A" w:rsidP="00EB444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prvi dan izvještajnog razdoblja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DA5D5" w14:textId="156D455D" w:rsidR="00EB444A" w:rsidRPr="004C3F2B" w:rsidRDefault="00EB444A" w:rsidP="00EB444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zadnji dan izvještajnog razdoblja</w:t>
            </w:r>
          </w:p>
        </w:tc>
      </w:tr>
      <w:tr w:rsidR="00EB444A" w:rsidRPr="004C3F2B" w14:paraId="0B189EE5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6587403E" w14:textId="143A778B" w:rsidR="00EB444A" w:rsidRPr="004C3F2B" w:rsidRDefault="00EB444A" w:rsidP="00EB444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27511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10B8803D" w14:textId="445DA571" w:rsidR="00EB444A" w:rsidRPr="004C3F2B" w:rsidRDefault="00EB444A" w:rsidP="00EB444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Obveze za EU predujmove dane od institucija i tijela EU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111C655A" w14:textId="4A7003DD" w:rsidR="00EB444A" w:rsidRPr="004C3F2B" w:rsidRDefault="00EB444A" w:rsidP="00EB444A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27511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0968E239" w14:textId="30228043" w:rsidR="00EB444A" w:rsidRPr="004C3F2B" w:rsidRDefault="00EB444A" w:rsidP="00EB444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17BB64D9" w14:textId="19EA605F" w:rsidR="00EB444A" w:rsidRPr="004C3F2B" w:rsidRDefault="00EB444A" w:rsidP="00EB444A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38.714,20</w:t>
            </w:r>
          </w:p>
        </w:tc>
      </w:tr>
    </w:tbl>
    <w:p w14:paraId="4A94644C" w14:textId="77777777" w:rsidR="00EC7ECD" w:rsidRPr="004C3F2B" w:rsidRDefault="00EC7ECD" w:rsidP="00EC7ECD">
      <w:pPr>
        <w:spacing w:after="0"/>
        <w:rPr>
          <w:rFonts w:cs="Times New Roman"/>
        </w:rPr>
      </w:pPr>
    </w:p>
    <w:p w14:paraId="154DE5A0" w14:textId="332B8213" w:rsidR="00EB444A" w:rsidRPr="004C3F2B" w:rsidRDefault="00EB444A" w:rsidP="00EB444A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Obveze za EU predujmove dane od institucija i tijela EU u iznosu 38.714,20 eura u potpunosti se odnosi na pred</w:t>
      </w:r>
      <w:r w:rsidR="00FF069C" w:rsidRPr="004C3F2B">
        <w:rPr>
          <w:rFonts w:cs="Times New Roman"/>
        </w:rPr>
        <w:t>uj</w:t>
      </w:r>
      <w:r w:rsidRPr="004C3F2B">
        <w:rPr>
          <w:rFonts w:cs="Times New Roman"/>
        </w:rPr>
        <w:t>am po projektu INNO2MARE.</w:t>
      </w:r>
    </w:p>
    <w:p w14:paraId="3A7C629E" w14:textId="77777777" w:rsidR="00EB444A" w:rsidRPr="004C3F2B" w:rsidRDefault="00EB444A" w:rsidP="00EB444A">
      <w:pPr>
        <w:spacing w:line="240" w:lineRule="auto"/>
        <w:jc w:val="both"/>
        <w:rPr>
          <w:rFonts w:cs="Times New Roman"/>
        </w:rPr>
      </w:pPr>
    </w:p>
    <w:p w14:paraId="4650636E" w14:textId="583236E6" w:rsidR="00EC7ECD" w:rsidRPr="004C3F2B" w:rsidRDefault="00EC7ECD" w:rsidP="00EC7ECD">
      <w:pPr>
        <w:keepNext/>
        <w:spacing w:line="240" w:lineRule="auto"/>
        <w:jc w:val="center"/>
        <w:rPr>
          <w:rFonts w:cs="Times New Roman"/>
        </w:rPr>
      </w:pPr>
      <w:r w:rsidRPr="00B8355D">
        <w:rPr>
          <w:rFonts w:cs="Times New Roman"/>
          <w:sz w:val="28"/>
        </w:rPr>
        <w:t xml:space="preserve">Bilješka </w:t>
      </w:r>
      <w:r w:rsidR="00EB444A" w:rsidRPr="00B8355D">
        <w:rPr>
          <w:rFonts w:cs="Times New Roman"/>
          <w:sz w:val="28"/>
        </w:rPr>
        <w:t>4</w:t>
      </w:r>
      <w:r w:rsidR="00E32818" w:rsidRPr="00B8355D">
        <w:rPr>
          <w:rFonts w:cs="Times New Roman"/>
          <w:sz w:val="28"/>
        </w:rPr>
        <w:t>9</w:t>
      </w:r>
      <w:r w:rsidRPr="00B8355D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EB444A" w:rsidRPr="004C3F2B" w14:paraId="42FCD527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347B5" w14:textId="77777777" w:rsidR="00EB444A" w:rsidRPr="004C3F2B" w:rsidRDefault="00EB444A" w:rsidP="00EB444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2AEF0" w14:textId="77777777" w:rsidR="00EB444A" w:rsidRPr="004C3F2B" w:rsidRDefault="00EB444A" w:rsidP="00EB444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E1244" w14:textId="77777777" w:rsidR="00EB444A" w:rsidRPr="004C3F2B" w:rsidRDefault="00EB444A" w:rsidP="00EB444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F95D1" w14:textId="2DFBA437" w:rsidR="00EB444A" w:rsidRPr="004C3F2B" w:rsidRDefault="00EB444A" w:rsidP="00EB444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prvi dan izvještajnog razdoblja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347F9" w14:textId="4E35B382" w:rsidR="00EB444A" w:rsidRPr="004C3F2B" w:rsidRDefault="00EB444A" w:rsidP="00EB444A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zadnji dan izvještajnog razdoblja</w:t>
            </w:r>
          </w:p>
        </w:tc>
      </w:tr>
      <w:tr w:rsidR="00E32818" w:rsidRPr="004C3F2B" w14:paraId="7C907A38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788A0DC2" w14:textId="38A2E3B8" w:rsidR="00E32818" w:rsidRPr="004C3F2B" w:rsidRDefault="00E32818" w:rsidP="00E32818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>96311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633ECE73" w14:textId="0F6501BB" w:rsidR="00E32818" w:rsidRPr="004C3F2B" w:rsidRDefault="00E32818" w:rsidP="00E32818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Tekuće pomoći od inozemnih vlada u EU 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7B82FF18" w14:textId="6E9EA6D4" w:rsidR="00E32818" w:rsidRPr="004C3F2B" w:rsidRDefault="00E32818" w:rsidP="00E32818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96311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6B813C71" w14:textId="707C4DB7" w:rsidR="00E32818" w:rsidRPr="004C3F2B" w:rsidRDefault="00E32818" w:rsidP="00E32818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57F8BDA6" w14:textId="7FC8F97E" w:rsidR="00E32818" w:rsidRPr="004C3F2B" w:rsidRDefault="00E32818" w:rsidP="00E32818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>4.032,50</w:t>
            </w:r>
          </w:p>
        </w:tc>
      </w:tr>
    </w:tbl>
    <w:p w14:paraId="4DADAC48" w14:textId="77777777" w:rsidR="00EC7ECD" w:rsidRPr="004C3F2B" w:rsidRDefault="00EC7ECD" w:rsidP="00EC7ECD">
      <w:pPr>
        <w:spacing w:after="0"/>
        <w:rPr>
          <w:rFonts w:cs="Times New Roman"/>
        </w:rPr>
      </w:pPr>
    </w:p>
    <w:p w14:paraId="1982D493" w14:textId="2E868959" w:rsidR="00EB444A" w:rsidRPr="004C3F2B" w:rsidRDefault="00EB444A" w:rsidP="00EB444A">
      <w:pPr>
        <w:keepNext/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Obračunati prihodi poslovanja nenaplaćeni</w:t>
      </w:r>
      <w:r w:rsidR="002E3B8B" w:rsidRPr="004C3F2B">
        <w:rPr>
          <w:rFonts w:cs="Times New Roman"/>
        </w:rPr>
        <w:t xml:space="preserve">, </w:t>
      </w:r>
      <w:r w:rsidRPr="004C3F2B">
        <w:rPr>
          <w:rFonts w:cs="Times New Roman"/>
        </w:rPr>
        <w:t xml:space="preserve">odnose se na obračunate tekuće pomoći od </w:t>
      </w:r>
      <w:r w:rsidR="00E32818" w:rsidRPr="004C3F2B">
        <w:rPr>
          <w:rFonts w:cs="Times New Roman"/>
        </w:rPr>
        <w:t>I</w:t>
      </w:r>
      <w:r w:rsidR="00E32818">
        <w:rPr>
          <w:rFonts w:cs="Times New Roman"/>
        </w:rPr>
        <w:t>nozemnih vlada u</w:t>
      </w:r>
      <w:r w:rsidRPr="004C3F2B">
        <w:rPr>
          <w:rFonts w:cs="Times New Roman"/>
        </w:rPr>
        <w:t xml:space="preserve"> EU, točnije obračunati prihod po završnom izviješću projekta BUSINESS GO VIRAL u iznosu 4.032,50 eura za koji još nije odobren ZNS. </w:t>
      </w:r>
    </w:p>
    <w:p w14:paraId="6873C89C" w14:textId="77777777" w:rsidR="00EB444A" w:rsidRPr="004C3F2B" w:rsidRDefault="00EB444A" w:rsidP="00EC7ECD">
      <w:pPr>
        <w:keepNext/>
        <w:spacing w:line="240" w:lineRule="auto"/>
        <w:jc w:val="center"/>
        <w:rPr>
          <w:rFonts w:cs="Times New Roman"/>
        </w:rPr>
      </w:pPr>
    </w:p>
    <w:p w14:paraId="2A9E3BCD" w14:textId="2D53D419" w:rsidR="00EB444A" w:rsidRPr="004C3F2B" w:rsidRDefault="00EB444A" w:rsidP="00EB444A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E32818">
        <w:rPr>
          <w:rFonts w:cs="Times New Roman"/>
          <w:sz w:val="28"/>
        </w:rPr>
        <w:t>50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EB444A" w:rsidRPr="004C3F2B" w14:paraId="0AB06A0A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8E883" w14:textId="77777777" w:rsidR="00EB444A" w:rsidRPr="004C3F2B" w:rsidRDefault="00EB444A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CB68B" w14:textId="77777777" w:rsidR="00EB444A" w:rsidRPr="004C3F2B" w:rsidRDefault="00EB444A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3BAE1" w14:textId="77777777" w:rsidR="00EB444A" w:rsidRPr="004C3F2B" w:rsidRDefault="00EB444A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50F0C" w14:textId="77777777" w:rsidR="00EB444A" w:rsidRPr="004C3F2B" w:rsidRDefault="00EB444A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prvi dan izvještajnog razdoblja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F19DF" w14:textId="77777777" w:rsidR="00EB444A" w:rsidRPr="004C3F2B" w:rsidRDefault="00EB444A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zadnji dan izvještajnog razdoblja</w:t>
            </w:r>
          </w:p>
        </w:tc>
      </w:tr>
      <w:tr w:rsidR="00EB444A" w:rsidRPr="004C3F2B" w14:paraId="083752CF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2CE0B602" w14:textId="77777777" w:rsidR="00EB444A" w:rsidRPr="004C3F2B" w:rsidRDefault="00EB444A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99171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43B3434B" w14:textId="77777777" w:rsidR="00EB444A" w:rsidRPr="004C3F2B" w:rsidRDefault="00EB444A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 xml:space="preserve">Potraživanja po ugovorima o dodijeljenim bespovratnim sredstvima iz EU fondova 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4F29628C" w14:textId="77777777" w:rsidR="00EB444A" w:rsidRPr="004C3F2B" w:rsidRDefault="00EB444A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99171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01B66796" w14:textId="77777777" w:rsidR="00EB444A" w:rsidRPr="004C3F2B" w:rsidRDefault="00EB444A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4DB086FC" w14:textId="74E9DBCD" w:rsidR="00EB444A" w:rsidRPr="004C3F2B" w:rsidRDefault="00EB444A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199.067,85</w:t>
            </w:r>
          </w:p>
        </w:tc>
      </w:tr>
    </w:tbl>
    <w:p w14:paraId="4D7090D6" w14:textId="77777777" w:rsidR="00EB444A" w:rsidRPr="004C3F2B" w:rsidRDefault="00EB444A" w:rsidP="00EB444A">
      <w:pPr>
        <w:spacing w:after="0"/>
        <w:rPr>
          <w:rFonts w:cs="Times New Roman"/>
        </w:rPr>
      </w:pPr>
    </w:p>
    <w:p w14:paraId="72714013" w14:textId="72CC5480" w:rsidR="00EB444A" w:rsidRPr="004C3F2B" w:rsidRDefault="00EB444A" w:rsidP="00EB444A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Na 31.</w:t>
      </w:r>
      <w:r w:rsidR="002E3B8B" w:rsidRPr="004C3F2B">
        <w:rPr>
          <w:rFonts w:cs="Times New Roman"/>
        </w:rPr>
        <w:t xml:space="preserve">prosinca </w:t>
      </w:r>
      <w:r w:rsidRPr="004C3F2B">
        <w:rPr>
          <w:rFonts w:cs="Times New Roman"/>
        </w:rPr>
        <w:t>2025 godine u izvanbilančnim zapisima potraživanja po ugovor</w:t>
      </w:r>
      <w:r w:rsidR="006A21E0" w:rsidRPr="004C3F2B">
        <w:rPr>
          <w:rFonts w:cs="Times New Roman"/>
        </w:rPr>
        <w:t>ima</w:t>
      </w:r>
      <w:r w:rsidRPr="004C3F2B">
        <w:rPr>
          <w:rFonts w:cs="Times New Roman"/>
        </w:rPr>
        <w:t xml:space="preserve"> o dodijeljenim bespovratnim sredstvima iz EU fondova po izvoru 510 iznose 199.067,85 eura. Za projekt  </w:t>
      </w:r>
      <w:r w:rsidR="00063A74" w:rsidRPr="004C3F2B">
        <w:rPr>
          <w:rFonts w:cs="Times New Roman"/>
        </w:rPr>
        <w:t>INNO2MARE</w:t>
      </w:r>
      <w:r w:rsidRPr="004C3F2B">
        <w:rPr>
          <w:rFonts w:cs="Times New Roman"/>
        </w:rPr>
        <w:t xml:space="preserve"> potraživanje po ugovoru iznosi </w:t>
      </w:r>
      <w:r w:rsidR="00063A74" w:rsidRPr="004C3F2B">
        <w:rPr>
          <w:rFonts w:cs="Times New Roman"/>
        </w:rPr>
        <w:t xml:space="preserve">14.067,85 </w:t>
      </w:r>
      <w:r w:rsidRPr="004C3F2B">
        <w:rPr>
          <w:rFonts w:cs="Times New Roman"/>
        </w:rPr>
        <w:t xml:space="preserve">eura, </w:t>
      </w:r>
      <w:r w:rsidR="00063A74" w:rsidRPr="004C3F2B">
        <w:rPr>
          <w:rFonts w:cs="Times New Roman"/>
        </w:rPr>
        <w:t>a</w:t>
      </w:r>
      <w:r w:rsidRPr="004C3F2B">
        <w:rPr>
          <w:rFonts w:cs="Times New Roman"/>
        </w:rPr>
        <w:t xml:space="preserve"> projekt EUROPE DIRECT PGŽ </w:t>
      </w:r>
      <w:r w:rsidR="00063A74" w:rsidRPr="004C3F2B">
        <w:rPr>
          <w:rFonts w:cs="Times New Roman"/>
        </w:rPr>
        <w:t xml:space="preserve">185.000,00 </w:t>
      </w:r>
      <w:r w:rsidRPr="004C3F2B">
        <w:rPr>
          <w:rFonts w:cs="Times New Roman"/>
        </w:rPr>
        <w:t>eura.</w:t>
      </w:r>
    </w:p>
    <w:p w14:paraId="7E40557A" w14:textId="77777777" w:rsidR="00063A74" w:rsidRPr="004C3F2B" w:rsidRDefault="00063A74" w:rsidP="00EB444A">
      <w:pPr>
        <w:spacing w:line="240" w:lineRule="auto"/>
        <w:jc w:val="both"/>
        <w:rPr>
          <w:rFonts w:cs="Times New Roman"/>
        </w:rPr>
      </w:pPr>
    </w:p>
    <w:p w14:paraId="63201ABF" w14:textId="7BE55E12" w:rsidR="00063A74" w:rsidRPr="004C3F2B" w:rsidRDefault="00063A74" w:rsidP="00063A74">
      <w:pPr>
        <w:jc w:val="center"/>
        <w:rPr>
          <w:rFonts w:cs="Times New Roman"/>
          <w:i/>
          <w:iCs/>
        </w:rPr>
      </w:pPr>
      <w:r w:rsidRPr="004C3F2B">
        <w:rPr>
          <w:rFonts w:cs="Times New Roman"/>
          <w:i/>
          <w:iCs/>
        </w:rPr>
        <w:lastRenderedPageBreak/>
        <w:t>EU izvještaji po izvorima financiranja – 563 Europski fond za regionalni razvoj</w:t>
      </w:r>
    </w:p>
    <w:p w14:paraId="61AEEBC0" w14:textId="77777777" w:rsidR="00063A74" w:rsidRPr="004C3F2B" w:rsidRDefault="00063A74" w:rsidP="00063A74">
      <w:pPr>
        <w:spacing w:line="240" w:lineRule="auto"/>
        <w:jc w:val="both"/>
        <w:rPr>
          <w:rFonts w:cs="Times New Roman"/>
        </w:rPr>
      </w:pPr>
    </w:p>
    <w:p w14:paraId="0E9700D7" w14:textId="08265492" w:rsidR="00063A74" w:rsidRPr="004C3F2B" w:rsidRDefault="00063A74" w:rsidP="00063A74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9F6C2C" w:rsidRPr="004C3F2B">
        <w:rPr>
          <w:rFonts w:cs="Times New Roman"/>
          <w:sz w:val="28"/>
        </w:rPr>
        <w:t>5</w:t>
      </w:r>
      <w:r w:rsidR="00E32818">
        <w:rPr>
          <w:rFonts w:cs="Times New Roman"/>
          <w:sz w:val="28"/>
        </w:rPr>
        <w:t>1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063A74" w:rsidRPr="004C3F2B" w14:paraId="4C4E19A0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7F4A6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15528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C92A1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2260B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prethodne godine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A61FE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tekuće godine</w:t>
            </w:r>
          </w:p>
        </w:tc>
      </w:tr>
      <w:tr w:rsidR="00063A74" w:rsidRPr="004C3F2B" w14:paraId="06029E7B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6B39EC7C" w14:textId="77777777" w:rsidR="00063A74" w:rsidRPr="004C3F2B" w:rsidRDefault="00063A74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28323753" w14:textId="77777777" w:rsidR="00063A74" w:rsidRPr="004C3F2B" w:rsidRDefault="00063A74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PRIHODI POSLOVANJA (šifre 631+632+638+639+671)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298142BF" w14:textId="77777777" w:rsidR="00063A74" w:rsidRPr="004C3F2B" w:rsidRDefault="00063A74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5EEA59D3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5F84D595" w14:textId="39FAEA56" w:rsidR="00063A74" w:rsidRPr="004C3F2B" w:rsidRDefault="00C34FA8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276.852,44</w:t>
            </w:r>
          </w:p>
        </w:tc>
      </w:tr>
    </w:tbl>
    <w:p w14:paraId="2D8696FF" w14:textId="77777777" w:rsidR="00063A74" w:rsidRPr="004C3F2B" w:rsidRDefault="00063A74" w:rsidP="00063A74">
      <w:pPr>
        <w:spacing w:after="0"/>
        <w:rPr>
          <w:rFonts w:cs="Times New Roman"/>
        </w:rPr>
      </w:pPr>
    </w:p>
    <w:p w14:paraId="1968B168" w14:textId="6BCAE255" w:rsidR="00E079DD" w:rsidRPr="004C3F2B" w:rsidRDefault="00063A74" w:rsidP="00E079DD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Prihodi poslovanja ostvareni iz programa unije po izvoru 5</w:t>
      </w:r>
      <w:r w:rsidR="00C34FA8" w:rsidRPr="004C3F2B">
        <w:rPr>
          <w:rFonts w:cs="Times New Roman"/>
        </w:rPr>
        <w:t>63</w:t>
      </w:r>
      <w:r w:rsidRPr="004C3F2B">
        <w:rPr>
          <w:rFonts w:cs="Times New Roman"/>
        </w:rPr>
        <w:t xml:space="preserve"> ostvareni su u visini </w:t>
      </w:r>
      <w:r w:rsidR="00C34FA8" w:rsidRPr="004C3F2B">
        <w:rPr>
          <w:rFonts w:cs="Times New Roman"/>
        </w:rPr>
        <w:t xml:space="preserve">276.852,44 </w:t>
      </w:r>
      <w:r w:rsidRPr="004C3F2B">
        <w:rPr>
          <w:rFonts w:cs="Times New Roman"/>
        </w:rPr>
        <w:t xml:space="preserve">eura. Prihod je ostvaren od </w:t>
      </w:r>
      <w:r w:rsidR="00C34FA8" w:rsidRPr="004C3F2B">
        <w:rPr>
          <w:rFonts w:cs="Times New Roman"/>
        </w:rPr>
        <w:t xml:space="preserve">tekućih pomoći iz državnog proračuna temeljem prijenosa EU sredstava </w:t>
      </w:r>
      <w:r w:rsidRPr="004C3F2B">
        <w:rPr>
          <w:rFonts w:cs="Times New Roman"/>
        </w:rPr>
        <w:t xml:space="preserve">u visini </w:t>
      </w:r>
      <w:r w:rsidR="00C34FA8" w:rsidRPr="004C3F2B">
        <w:rPr>
          <w:rFonts w:cs="Times New Roman"/>
        </w:rPr>
        <w:t>272.234,88</w:t>
      </w:r>
      <w:r w:rsidRPr="004C3F2B">
        <w:rPr>
          <w:rFonts w:cs="Times New Roman"/>
        </w:rPr>
        <w:t xml:space="preserve">, točnije </w:t>
      </w:r>
      <w:r w:rsidR="00C34FA8" w:rsidRPr="004C3F2B">
        <w:rPr>
          <w:rFonts w:cs="Times New Roman"/>
        </w:rPr>
        <w:t>za treću i četvrtu ratu Sporazum  -  Aktivnosti jačanja kapaciteta na regionalnoj i lokalnoj razin</w:t>
      </w:r>
      <w:r w:rsidR="00E079DD" w:rsidRPr="004C3F2B">
        <w:rPr>
          <w:rFonts w:cs="Times New Roman"/>
        </w:rPr>
        <w:t>i, zatim prihoda iz nadležnog proračuna za financiranje rashoda poslovanja u visini 3.448,36 eura</w:t>
      </w:r>
      <w:r w:rsidR="00B35393" w:rsidRPr="004C3F2B">
        <w:rPr>
          <w:rFonts w:cs="Times New Roman"/>
        </w:rPr>
        <w:t>,</w:t>
      </w:r>
      <w:r w:rsidR="00E079DD" w:rsidRPr="004C3F2B">
        <w:rPr>
          <w:rFonts w:cs="Times New Roman"/>
        </w:rPr>
        <w:t xml:space="preserve">  čime su predfinancirani projekti Š(K)OLA 5.0 i </w:t>
      </w:r>
      <w:proofErr w:type="spellStart"/>
      <w:r w:rsidR="00E079DD" w:rsidRPr="004C3F2B">
        <w:rPr>
          <w:rFonts w:cs="Times New Roman"/>
        </w:rPr>
        <w:t>AdriACTIVE</w:t>
      </w:r>
      <w:proofErr w:type="spellEnd"/>
      <w:r w:rsidR="00E079DD" w:rsidRPr="004C3F2B">
        <w:rPr>
          <w:rFonts w:cs="Times New Roman"/>
        </w:rPr>
        <w:t xml:space="preserve"> te prihoda iz nadležnog proračuna za financiranje rashoda za nabavu nefinancijske imovine u visini 1.169,20 eura za nabavu VR naočala u sklopu projekta Š(K)OLA 5.0 .</w:t>
      </w:r>
    </w:p>
    <w:p w14:paraId="06FEF48D" w14:textId="79763295" w:rsidR="00063A74" w:rsidRPr="004C3F2B" w:rsidRDefault="00063A74" w:rsidP="00063A74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B35393" w:rsidRPr="004C3F2B">
        <w:rPr>
          <w:rFonts w:cs="Times New Roman"/>
          <w:sz w:val="28"/>
        </w:rPr>
        <w:t>5</w:t>
      </w:r>
      <w:r w:rsidR="00E32818">
        <w:rPr>
          <w:rFonts w:cs="Times New Roman"/>
          <w:sz w:val="28"/>
        </w:rPr>
        <w:t>2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063A74" w:rsidRPr="004C3F2B" w14:paraId="1F2A4ED4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88A3A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BDE70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142D6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DBE8B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prethodne godine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3BA2E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tekuće godine</w:t>
            </w:r>
          </w:p>
        </w:tc>
      </w:tr>
      <w:tr w:rsidR="00063A74" w:rsidRPr="004C3F2B" w14:paraId="2D119C5B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351EE5DF" w14:textId="77777777" w:rsidR="00063A74" w:rsidRPr="004C3F2B" w:rsidRDefault="00063A74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7D656118" w14:textId="77777777" w:rsidR="00063A74" w:rsidRPr="004C3F2B" w:rsidRDefault="00063A74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 xml:space="preserve">RASHODI POSLOVANJA (šifre 31+32+34+35+36+37+38) 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354AC1B1" w14:textId="77777777" w:rsidR="00063A74" w:rsidRPr="004C3F2B" w:rsidRDefault="00063A74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0FF57367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5658F090" w14:textId="5871026E" w:rsidR="00063A74" w:rsidRPr="004C3F2B" w:rsidRDefault="00E079DD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413.123,75</w:t>
            </w:r>
          </w:p>
        </w:tc>
      </w:tr>
    </w:tbl>
    <w:p w14:paraId="17A812F2" w14:textId="77777777" w:rsidR="00063A74" w:rsidRPr="004C3F2B" w:rsidRDefault="00063A74" w:rsidP="00063A74">
      <w:pPr>
        <w:spacing w:after="0"/>
        <w:rPr>
          <w:rFonts w:cs="Times New Roman"/>
        </w:rPr>
      </w:pPr>
    </w:p>
    <w:p w14:paraId="72846076" w14:textId="3FFF66E6" w:rsidR="003C5E11" w:rsidRPr="004C3F2B" w:rsidRDefault="00E079DD" w:rsidP="00E079DD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Rashodi poslovanja ostvareni po izvoru 563 iznose</w:t>
      </w:r>
      <w:r w:rsidRPr="004C3F2B">
        <w:t xml:space="preserve"> </w:t>
      </w:r>
      <w:r w:rsidRPr="004C3F2B">
        <w:rPr>
          <w:rFonts w:cs="Times New Roman"/>
        </w:rPr>
        <w:t xml:space="preserve">413.123,75 eura odnose se na </w:t>
      </w:r>
      <w:r w:rsidR="003C5E11" w:rsidRPr="004C3F2B">
        <w:rPr>
          <w:rFonts w:cs="Times New Roman"/>
        </w:rPr>
        <w:t xml:space="preserve">rashode </w:t>
      </w:r>
      <w:r w:rsidRPr="004C3F2B">
        <w:rPr>
          <w:rFonts w:cs="Times New Roman"/>
        </w:rPr>
        <w:t xml:space="preserve">koji </w:t>
      </w:r>
      <w:r w:rsidR="008C098F" w:rsidRPr="004C3F2B">
        <w:rPr>
          <w:rFonts w:cs="Times New Roman"/>
        </w:rPr>
        <w:t xml:space="preserve">su </w:t>
      </w:r>
      <w:r w:rsidRPr="004C3F2B">
        <w:rPr>
          <w:rFonts w:cs="Times New Roman"/>
        </w:rPr>
        <w:t xml:space="preserve">nastali unutar </w:t>
      </w:r>
      <w:r w:rsidR="003C5E11" w:rsidRPr="004C3F2B">
        <w:rPr>
          <w:rFonts w:cs="Times New Roman"/>
        </w:rPr>
        <w:t>tri</w:t>
      </w:r>
      <w:r w:rsidRPr="004C3F2B">
        <w:rPr>
          <w:rFonts w:cs="Times New Roman"/>
        </w:rPr>
        <w:t xml:space="preserve"> projekta</w:t>
      </w:r>
      <w:r w:rsidR="003C5E11" w:rsidRPr="004C3F2B">
        <w:rPr>
          <w:rFonts w:cs="Times New Roman"/>
        </w:rPr>
        <w:t>:</w:t>
      </w:r>
      <w:r w:rsidRPr="004C3F2B">
        <w:rPr>
          <w:rFonts w:cs="Times New Roman"/>
        </w:rPr>
        <w:t xml:space="preserve"> Š(K)OLA 5.0</w:t>
      </w:r>
      <w:r w:rsidR="003C5E11" w:rsidRPr="004C3F2B">
        <w:rPr>
          <w:rFonts w:cs="Times New Roman"/>
        </w:rPr>
        <w:t xml:space="preserve">, </w:t>
      </w:r>
      <w:r w:rsidRPr="004C3F2B">
        <w:rPr>
          <w:rFonts w:cs="Times New Roman"/>
        </w:rPr>
        <w:t xml:space="preserve"> </w:t>
      </w:r>
      <w:proofErr w:type="spellStart"/>
      <w:r w:rsidRPr="004C3F2B">
        <w:rPr>
          <w:rFonts w:cs="Times New Roman"/>
        </w:rPr>
        <w:t>AdriACTIVE</w:t>
      </w:r>
      <w:proofErr w:type="spellEnd"/>
      <w:r w:rsidR="003C5E11" w:rsidRPr="004C3F2B">
        <w:rPr>
          <w:rFonts w:cs="Times New Roman"/>
        </w:rPr>
        <w:t xml:space="preserve"> i </w:t>
      </w:r>
      <w:bookmarkStart w:id="7" w:name="_Hlk220069727"/>
      <w:r w:rsidR="003C5E11" w:rsidRPr="004C3F2B">
        <w:rPr>
          <w:rFonts w:cs="Times New Roman"/>
        </w:rPr>
        <w:t>Sporazuma  -  Aktivnosti jačanja kapaciteta na regionalnoj i lokalnoj razini</w:t>
      </w:r>
      <w:bookmarkEnd w:id="7"/>
      <w:r w:rsidRPr="004C3F2B">
        <w:rPr>
          <w:rFonts w:cs="Times New Roman"/>
        </w:rPr>
        <w:t>.</w:t>
      </w:r>
    </w:p>
    <w:p w14:paraId="43DD4798" w14:textId="21DCA368" w:rsidR="003C5E11" w:rsidRPr="004C3F2B" w:rsidRDefault="00E079DD" w:rsidP="00E079DD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Rashodi </w:t>
      </w:r>
      <w:r w:rsidR="003C5E11" w:rsidRPr="004C3F2B">
        <w:rPr>
          <w:rFonts w:cs="Times New Roman"/>
        </w:rPr>
        <w:t>iz</w:t>
      </w:r>
      <w:r w:rsidRPr="004C3F2B">
        <w:rPr>
          <w:rFonts w:cs="Times New Roman"/>
        </w:rPr>
        <w:t xml:space="preserve"> projekt</w:t>
      </w:r>
      <w:r w:rsidR="003C5E11" w:rsidRPr="004C3F2B">
        <w:rPr>
          <w:rFonts w:cs="Times New Roman"/>
        </w:rPr>
        <w:t xml:space="preserve">a Sporazum  -  Aktivnosti jačanja kapaciteta na regionalnoj i lokalnoj razini odnose </w:t>
      </w:r>
      <w:r w:rsidR="008C098F" w:rsidRPr="004C3F2B">
        <w:rPr>
          <w:rFonts w:cs="Times New Roman"/>
        </w:rPr>
        <w:t xml:space="preserve">se </w:t>
      </w:r>
      <w:r w:rsidR="003C5E11" w:rsidRPr="004C3F2B">
        <w:rPr>
          <w:rFonts w:cs="Times New Roman"/>
        </w:rPr>
        <w:t xml:space="preserve">na rashode za zaposlene u visini 408.352,32 eura, dok je preostali iznos od 1.302,87 eura rashoda za zaposleni iz projekta </w:t>
      </w:r>
      <w:proofErr w:type="spellStart"/>
      <w:r w:rsidR="003C5E11" w:rsidRPr="004C3F2B">
        <w:rPr>
          <w:rFonts w:cs="Times New Roman"/>
        </w:rPr>
        <w:t>Adri</w:t>
      </w:r>
      <w:r w:rsidR="0000129E" w:rsidRPr="004C3F2B">
        <w:rPr>
          <w:rFonts w:cs="Times New Roman"/>
        </w:rPr>
        <w:t>ACTIVE</w:t>
      </w:r>
      <w:proofErr w:type="spellEnd"/>
      <w:r w:rsidR="005A7C9B" w:rsidRPr="004C3F2B">
        <w:rPr>
          <w:rFonts w:cs="Times New Roman"/>
        </w:rPr>
        <w:t>,</w:t>
      </w:r>
      <w:r w:rsidR="003C5E11" w:rsidRPr="004C3F2B">
        <w:rPr>
          <w:rFonts w:cs="Times New Roman"/>
        </w:rPr>
        <w:t xml:space="preserve"> koje je u izvještajnom </w:t>
      </w:r>
      <w:r w:rsidR="0000129E" w:rsidRPr="004C3F2B">
        <w:rPr>
          <w:rFonts w:cs="Times New Roman"/>
        </w:rPr>
        <w:t>razdoblju</w:t>
      </w:r>
      <w:r w:rsidR="003C5E11" w:rsidRPr="004C3F2B">
        <w:rPr>
          <w:rFonts w:cs="Times New Roman"/>
        </w:rPr>
        <w:t xml:space="preserve"> sufinancirala PGŽ, ukupno čineći iznos rashoda za zaposlene 409.655,19 eura.</w:t>
      </w:r>
    </w:p>
    <w:p w14:paraId="35266865" w14:textId="77777777" w:rsidR="0000129E" w:rsidRPr="004C3F2B" w:rsidRDefault="0000129E" w:rsidP="00E079DD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 xml:space="preserve">Nadalje, rashode čine naknade troškova zaposlenima u visini 262,16 eura iz projekta </w:t>
      </w:r>
      <w:proofErr w:type="spellStart"/>
      <w:r w:rsidR="00E079DD" w:rsidRPr="004C3F2B">
        <w:rPr>
          <w:rFonts w:cs="Times New Roman"/>
        </w:rPr>
        <w:t>AdriACTIVE</w:t>
      </w:r>
      <w:proofErr w:type="spellEnd"/>
      <w:r w:rsidRPr="004C3F2B">
        <w:rPr>
          <w:rFonts w:cs="Times New Roman"/>
        </w:rPr>
        <w:t xml:space="preserve"> koje je </w:t>
      </w:r>
      <w:proofErr w:type="spellStart"/>
      <w:r w:rsidRPr="004C3F2B">
        <w:rPr>
          <w:rFonts w:cs="Times New Roman"/>
        </w:rPr>
        <w:t>predfinancirala</w:t>
      </w:r>
      <w:proofErr w:type="spellEnd"/>
      <w:r w:rsidRPr="004C3F2B">
        <w:rPr>
          <w:rFonts w:cs="Times New Roman"/>
        </w:rPr>
        <w:t xml:space="preserve"> PGŽ u visini 242,96 eura za službena putovanja i 19,20 eura za prijevoz na posao i s posla. </w:t>
      </w:r>
    </w:p>
    <w:p w14:paraId="7F772078" w14:textId="36CCBC6E" w:rsidR="00E079DD" w:rsidRPr="004C3F2B" w:rsidRDefault="00E079DD" w:rsidP="00E079DD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Preostali rashodi poslovanja nastali su u okviru projekta Š(K)OLA 5.</w:t>
      </w:r>
      <w:r w:rsidR="0000129E" w:rsidRPr="004C3F2B">
        <w:rPr>
          <w:rFonts w:cs="Times New Roman"/>
        </w:rPr>
        <w:t>0. i odnose se na rashode za usluge i ostale nespomenute rashode po</w:t>
      </w:r>
      <w:r w:rsidR="00482236" w:rsidRPr="004C3F2B">
        <w:rPr>
          <w:rFonts w:cs="Times New Roman"/>
        </w:rPr>
        <w:t>s</w:t>
      </w:r>
      <w:r w:rsidR="0000129E" w:rsidRPr="004C3F2B">
        <w:rPr>
          <w:rFonts w:cs="Times New Roman"/>
        </w:rPr>
        <w:t>lovanja.</w:t>
      </w:r>
      <w:r w:rsidRPr="004C3F2B">
        <w:rPr>
          <w:rFonts w:cs="Times New Roman"/>
        </w:rPr>
        <w:t xml:space="preserve"> Troškove je </w:t>
      </w:r>
      <w:r w:rsidR="0000129E" w:rsidRPr="004C3F2B">
        <w:rPr>
          <w:rFonts w:cs="Times New Roman"/>
        </w:rPr>
        <w:t>predfinancirala</w:t>
      </w:r>
      <w:r w:rsidRPr="004C3F2B">
        <w:rPr>
          <w:rFonts w:cs="Times New Roman"/>
        </w:rPr>
        <w:t xml:space="preserve"> PGŽ</w:t>
      </w:r>
      <w:r w:rsidR="0000129E" w:rsidRPr="004C3F2B">
        <w:rPr>
          <w:rFonts w:cs="Times New Roman"/>
        </w:rPr>
        <w:t>, a</w:t>
      </w:r>
      <w:r w:rsidRPr="004C3F2B">
        <w:rPr>
          <w:rFonts w:cs="Times New Roman"/>
        </w:rPr>
        <w:t xml:space="preserve"> odnose se na usluge telefona, interneta, pošte i prijevoza u visini </w:t>
      </w:r>
      <w:r w:rsidR="0000129E" w:rsidRPr="004C3F2B">
        <w:rPr>
          <w:rFonts w:cs="Times New Roman"/>
        </w:rPr>
        <w:t xml:space="preserve">520,00 </w:t>
      </w:r>
      <w:r w:rsidRPr="004C3F2B">
        <w:rPr>
          <w:rFonts w:cs="Times New Roman"/>
        </w:rPr>
        <w:t xml:space="preserve">eura, usluge promidžbe i informiranja u visini </w:t>
      </w:r>
      <w:r w:rsidR="0000129E" w:rsidRPr="004C3F2B">
        <w:rPr>
          <w:rFonts w:cs="Times New Roman"/>
        </w:rPr>
        <w:t>90</w:t>
      </w:r>
      <w:r w:rsidR="00602E01" w:rsidRPr="004C3F2B">
        <w:rPr>
          <w:rFonts w:cs="Times New Roman"/>
        </w:rPr>
        <w:t>2</w:t>
      </w:r>
      <w:r w:rsidR="0000129E" w:rsidRPr="004C3F2B">
        <w:rPr>
          <w:rFonts w:cs="Times New Roman"/>
        </w:rPr>
        <w:t xml:space="preserve">,40 </w:t>
      </w:r>
      <w:r w:rsidRPr="004C3F2B">
        <w:rPr>
          <w:rFonts w:cs="Times New Roman"/>
        </w:rPr>
        <w:t xml:space="preserve">eura, zakupnine i najamnine u visini </w:t>
      </w:r>
      <w:r w:rsidR="0000129E" w:rsidRPr="004C3F2B">
        <w:rPr>
          <w:rFonts w:cs="Times New Roman"/>
        </w:rPr>
        <w:t xml:space="preserve">265,00 </w:t>
      </w:r>
      <w:r w:rsidRPr="004C3F2B">
        <w:rPr>
          <w:rFonts w:cs="Times New Roman"/>
        </w:rPr>
        <w:t xml:space="preserve">eura, intelektualne i osobne usluge u visini </w:t>
      </w:r>
      <w:r w:rsidR="0000129E" w:rsidRPr="004C3F2B">
        <w:rPr>
          <w:rFonts w:cs="Times New Roman"/>
        </w:rPr>
        <w:t xml:space="preserve">750,00 </w:t>
      </w:r>
      <w:r w:rsidRPr="004C3F2B">
        <w:rPr>
          <w:rFonts w:cs="Times New Roman"/>
        </w:rPr>
        <w:t xml:space="preserve">eura i troškova reprezentacije u visini </w:t>
      </w:r>
      <w:r w:rsidR="0000129E" w:rsidRPr="004C3F2B">
        <w:rPr>
          <w:rFonts w:cs="Times New Roman"/>
        </w:rPr>
        <w:t xml:space="preserve">768,00 </w:t>
      </w:r>
      <w:r w:rsidRPr="004C3F2B">
        <w:rPr>
          <w:rFonts w:cs="Times New Roman"/>
        </w:rPr>
        <w:t xml:space="preserve">eura, u ukupnom iznosu od </w:t>
      </w:r>
      <w:r w:rsidR="00602E01" w:rsidRPr="004C3F2B">
        <w:rPr>
          <w:rFonts w:cs="Times New Roman"/>
        </w:rPr>
        <w:t xml:space="preserve">3.205,40 </w:t>
      </w:r>
      <w:r w:rsidRPr="004C3F2B">
        <w:rPr>
          <w:rFonts w:cs="Times New Roman"/>
        </w:rPr>
        <w:t>eura.</w:t>
      </w:r>
    </w:p>
    <w:p w14:paraId="654495D1" w14:textId="254F06EB" w:rsidR="00C05FA8" w:rsidRPr="004C3F2B" w:rsidRDefault="00C05FA8" w:rsidP="00C05FA8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lastRenderedPageBreak/>
        <w:t>Bilješka 5</w:t>
      </w:r>
      <w:r w:rsidR="00E32818">
        <w:rPr>
          <w:rFonts w:cs="Times New Roman"/>
          <w:sz w:val="28"/>
        </w:rPr>
        <w:t>3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C05FA8" w:rsidRPr="004C3F2B" w14:paraId="5FE1D31D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4590E" w14:textId="77777777" w:rsidR="00C05FA8" w:rsidRPr="004C3F2B" w:rsidRDefault="00C05FA8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937AA" w14:textId="77777777" w:rsidR="00C05FA8" w:rsidRPr="004C3F2B" w:rsidRDefault="00C05FA8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95CD5" w14:textId="77777777" w:rsidR="00C05FA8" w:rsidRPr="004C3F2B" w:rsidRDefault="00C05FA8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B3CAF" w14:textId="77777777" w:rsidR="00C05FA8" w:rsidRPr="004C3F2B" w:rsidRDefault="00C05FA8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prethodne godine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3CF3A" w14:textId="77777777" w:rsidR="00C05FA8" w:rsidRPr="004C3F2B" w:rsidRDefault="00C05FA8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 xml:space="preserve">Ostvareno u izvještajnom razdoblju </w:t>
            </w:r>
            <w:r w:rsidRPr="004C3F2B">
              <w:rPr>
                <w:rFonts w:cs="Times New Roman"/>
                <w:b/>
                <w:bCs/>
                <w:sz w:val="16"/>
                <w:szCs w:val="16"/>
              </w:rPr>
              <w:br/>
              <w:t>tekuće godine</w:t>
            </w:r>
          </w:p>
        </w:tc>
      </w:tr>
      <w:tr w:rsidR="00C05FA8" w:rsidRPr="004C3F2B" w14:paraId="5ED4DFD1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756CE0DD" w14:textId="77777777" w:rsidR="00C05FA8" w:rsidRPr="004C3F2B" w:rsidRDefault="00C05FA8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6CFB7C9D" w14:textId="77777777" w:rsidR="00C05FA8" w:rsidRPr="004C3F2B" w:rsidRDefault="00C05FA8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Rashodi za nabavu nefinancijske imovine (šifre 41+42+43+44+45)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06E87678" w14:textId="77777777" w:rsidR="00C05FA8" w:rsidRPr="004C3F2B" w:rsidRDefault="00C05FA8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1F158E92" w14:textId="77777777" w:rsidR="00C05FA8" w:rsidRPr="004C3F2B" w:rsidRDefault="00C05FA8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190B3AA1" w14:textId="75F5D28F" w:rsidR="00C05FA8" w:rsidRPr="004C3F2B" w:rsidRDefault="00C05FA8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1.169,20</w:t>
            </w:r>
          </w:p>
        </w:tc>
      </w:tr>
    </w:tbl>
    <w:p w14:paraId="279B5102" w14:textId="77777777" w:rsidR="00C05FA8" w:rsidRPr="004C3F2B" w:rsidRDefault="00C05FA8" w:rsidP="00C05FA8">
      <w:pPr>
        <w:spacing w:line="240" w:lineRule="auto"/>
        <w:jc w:val="both"/>
        <w:rPr>
          <w:rFonts w:cs="Times New Roman"/>
        </w:rPr>
      </w:pPr>
    </w:p>
    <w:p w14:paraId="0C7F8BC7" w14:textId="20580154" w:rsidR="00C05FA8" w:rsidRPr="004C3F2B" w:rsidRDefault="00C05FA8" w:rsidP="00C05FA8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Rashodi poslovanja za nabavu nefinancijske imovine, predfinancirani od strane PGŽ, u visini 1.169,20 eura ostvareni su unutar projekta Š(K)OLA 5.0 za nabavu VR naočala.</w:t>
      </w:r>
    </w:p>
    <w:p w14:paraId="6911A71B" w14:textId="77777777" w:rsidR="00C05FA8" w:rsidRPr="004C3F2B" w:rsidRDefault="00C05FA8" w:rsidP="00E079DD">
      <w:pPr>
        <w:spacing w:line="240" w:lineRule="auto"/>
        <w:jc w:val="both"/>
        <w:rPr>
          <w:rFonts w:cs="Times New Roman"/>
        </w:rPr>
      </w:pPr>
    </w:p>
    <w:p w14:paraId="369812D2" w14:textId="77777777" w:rsidR="00063A74" w:rsidRPr="004C3F2B" w:rsidRDefault="00063A74" w:rsidP="00C05FA8">
      <w:pPr>
        <w:keepNext/>
        <w:spacing w:line="240" w:lineRule="auto"/>
        <w:rPr>
          <w:rFonts w:cs="Times New Roman"/>
        </w:rPr>
      </w:pPr>
    </w:p>
    <w:p w14:paraId="0316CF9E" w14:textId="394BBAA5" w:rsidR="00063A74" w:rsidRPr="004C3F2B" w:rsidRDefault="00063A74" w:rsidP="00063A74">
      <w:pPr>
        <w:keepNext/>
        <w:spacing w:line="240" w:lineRule="auto"/>
        <w:jc w:val="center"/>
        <w:rPr>
          <w:rFonts w:cs="Times New Roman"/>
        </w:rPr>
      </w:pPr>
      <w:r w:rsidRPr="004C3F2B">
        <w:rPr>
          <w:rFonts w:cs="Times New Roman"/>
          <w:sz w:val="28"/>
        </w:rPr>
        <w:t xml:space="preserve">Bilješka </w:t>
      </w:r>
      <w:r w:rsidR="00C05FA8" w:rsidRPr="004C3F2B">
        <w:rPr>
          <w:rFonts w:cs="Times New Roman"/>
          <w:sz w:val="28"/>
        </w:rPr>
        <w:t>5</w:t>
      </w:r>
      <w:r w:rsidR="00E32818">
        <w:rPr>
          <w:rFonts w:cs="Times New Roman"/>
          <w:sz w:val="28"/>
        </w:rPr>
        <w:t>4</w:t>
      </w:r>
      <w:r w:rsidRPr="004C3F2B">
        <w:rPr>
          <w:rFonts w:cs="Times New Roman"/>
          <w:sz w:val="28"/>
        </w:rPr>
        <w:t>.</w:t>
      </w:r>
    </w:p>
    <w:tbl>
      <w:tblPr>
        <w:tblW w:w="8988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8"/>
        <w:gridCol w:w="3444"/>
        <w:gridCol w:w="758"/>
        <w:gridCol w:w="2014"/>
        <w:gridCol w:w="2014"/>
      </w:tblGrid>
      <w:tr w:rsidR="00063A74" w:rsidRPr="004C3F2B" w14:paraId="5F092BEC" w14:textId="77777777" w:rsidTr="009C4FDE">
        <w:trPr>
          <w:cantSplit/>
          <w:trHeight w:val="664"/>
        </w:trPr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7A543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 xml:space="preserve">Račun iz </w:t>
            </w:r>
            <w:proofErr w:type="spellStart"/>
            <w:r w:rsidRPr="004C3F2B">
              <w:rPr>
                <w:rFonts w:cs="Times New Roman"/>
                <w:b/>
                <w:sz w:val="18"/>
              </w:rPr>
              <w:t>rač</w:t>
            </w:r>
            <w:proofErr w:type="spellEnd"/>
            <w:r w:rsidRPr="004C3F2B">
              <w:rPr>
                <w:rFonts w:cs="Times New Roman"/>
                <w:b/>
                <w:sz w:val="18"/>
              </w:rPr>
              <w:t>. plana</w:t>
            </w:r>
          </w:p>
        </w:tc>
        <w:tc>
          <w:tcPr>
            <w:tcW w:w="344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BAC0C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Opis stavke</w:t>
            </w:r>
          </w:p>
        </w:tc>
        <w:tc>
          <w:tcPr>
            <w:tcW w:w="758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41563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sz w:val="18"/>
              </w:rPr>
              <w:t>Šifra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54651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prvi dan izvještajnog razdoblja</w:t>
            </w:r>
          </w:p>
        </w:tc>
        <w:tc>
          <w:tcPr>
            <w:tcW w:w="2014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7529E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center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6"/>
                <w:szCs w:val="16"/>
              </w:rPr>
              <w:t>Stanje na zadnji dan izvještajnog razdoblja</w:t>
            </w:r>
          </w:p>
        </w:tc>
      </w:tr>
      <w:tr w:rsidR="00063A74" w:rsidRPr="004C3F2B" w14:paraId="6B5D0A7C" w14:textId="77777777" w:rsidTr="009C4FDE">
        <w:trPr>
          <w:cantSplit/>
          <w:trHeight w:val="605"/>
        </w:trPr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7DE6E33C" w14:textId="77777777" w:rsidR="00063A74" w:rsidRPr="004C3F2B" w:rsidRDefault="00063A74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>99171</w:t>
            </w:r>
          </w:p>
        </w:tc>
        <w:tc>
          <w:tcPr>
            <w:tcW w:w="3444" w:type="dxa"/>
            <w:tcMar>
              <w:top w:w="0" w:type="dxa"/>
              <w:bottom w:w="0" w:type="dxa"/>
            </w:tcMar>
            <w:vAlign w:val="center"/>
          </w:tcPr>
          <w:p w14:paraId="1DA86138" w14:textId="77777777" w:rsidR="00063A74" w:rsidRPr="004C3F2B" w:rsidRDefault="00063A74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sz w:val="18"/>
                <w:szCs w:val="18"/>
              </w:rPr>
              <w:t xml:space="preserve">Potraživanja po ugovorima o dodijeljenim bespovratnim sredstvima iz EU fondova </w:t>
            </w:r>
          </w:p>
        </w:tc>
        <w:tc>
          <w:tcPr>
            <w:tcW w:w="758" w:type="dxa"/>
            <w:tcMar>
              <w:top w:w="0" w:type="dxa"/>
              <w:bottom w:w="0" w:type="dxa"/>
            </w:tcMar>
            <w:vAlign w:val="center"/>
          </w:tcPr>
          <w:p w14:paraId="5FA674E3" w14:textId="77777777" w:rsidR="00063A74" w:rsidRPr="004C3F2B" w:rsidRDefault="00063A74" w:rsidP="009C4FDE">
            <w:pPr>
              <w:keepNext/>
              <w:keepLines/>
              <w:spacing w:after="0" w:line="240" w:lineRule="auto"/>
              <w:rPr>
                <w:rFonts w:cs="Times New Roman"/>
              </w:rPr>
            </w:pPr>
            <w:r w:rsidRPr="004C3F2B">
              <w:rPr>
                <w:rFonts w:cs="Times New Roman"/>
                <w:b/>
                <w:bCs/>
                <w:sz w:val="18"/>
                <w:szCs w:val="18"/>
              </w:rPr>
              <w:t>99171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0FDF169D" w14:textId="77777777" w:rsidR="00063A74" w:rsidRPr="004C3F2B" w:rsidRDefault="00063A74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 </w:t>
            </w:r>
          </w:p>
        </w:tc>
        <w:tc>
          <w:tcPr>
            <w:tcW w:w="2014" w:type="dxa"/>
            <w:tcMar>
              <w:top w:w="0" w:type="dxa"/>
              <w:bottom w:w="0" w:type="dxa"/>
            </w:tcMar>
            <w:vAlign w:val="center"/>
          </w:tcPr>
          <w:p w14:paraId="7C7338F5" w14:textId="12054270" w:rsidR="00063A74" w:rsidRPr="004C3F2B" w:rsidRDefault="00C05FA8" w:rsidP="009C4FDE">
            <w:pPr>
              <w:keepNext/>
              <w:keepLines/>
              <w:spacing w:after="0" w:line="240" w:lineRule="auto"/>
              <w:jc w:val="right"/>
              <w:rPr>
                <w:rFonts w:cs="Times New Roman"/>
              </w:rPr>
            </w:pPr>
            <w:r w:rsidRPr="004C3F2B">
              <w:rPr>
                <w:rFonts w:cs="Times New Roman"/>
                <w:sz w:val="16"/>
                <w:szCs w:val="16"/>
              </w:rPr>
              <w:t>321.300,80</w:t>
            </w:r>
          </w:p>
        </w:tc>
      </w:tr>
    </w:tbl>
    <w:p w14:paraId="6B681E12" w14:textId="77777777" w:rsidR="00063A74" w:rsidRPr="004C3F2B" w:rsidRDefault="00063A74" w:rsidP="00063A74">
      <w:pPr>
        <w:spacing w:after="0"/>
        <w:rPr>
          <w:rFonts w:cs="Times New Roman"/>
        </w:rPr>
      </w:pPr>
    </w:p>
    <w:p w14:paraId="14568F74" w14:textId="49911E5F" w:rsidR="00063A74" w:rsidRPr="004C3F2B" w:rsidRDefault="00063A74" w:rsidP="00063A74">
      <w:pPr>
        <w:spacing w:line="240" w:lineRule="auto"/>
        <w:jc w:val="both"/>
        <w:rPr>
          <w:rFonts w:cs="Times New Roman"/>
        </w:rPr>
      </w:pPr>
      <w:r w:rsidRPr="004C3F2B">
        <w:rPr>
          <w:rFonts w:cs="Times New Roman"/>
        </w:rPr>
        <w:t>Na 31.12.2025</w:t>
      </w:r>
      <w:r w:rsidR="00C05FA8" w:rsidRPr="004C3F2B">
        <w:rPr>
          <w:rFonts w:cs="Times New Roman"/>
        </w:rPr>
        <w:t>.</w:t>
      </w:r>
      <w:r w:rsidRPr="004C3F2B">
        <w:rPr>
          <w:rFonts w:cs="Times New Roman"/>
        </w:rPr>
        <w:t xml:space="preserve"> godine u izvanbilančnim zapisima potraživanja po ugovorim</w:t>
      </w:r>
      <w:r w:rsidR="00602E01" w:rsidRPr="004C3F2B">
        <w:rPr>
          <w:rFonts w:cs="Times New Roman"/>
        </w:rPr>
        <w:t>a</w:t>
      </w:r>
      <w:r w:rsidRPr="004C3F2B">
        <w:rPr>
          <w:rFonts w:cs="Times New Roman"/>
        </w:rPr>
        <w:t xml:space="preserve"> o dodijeljenim bespovratnim sredstvima iz EU fondova po izvoru 5</w:t>
      </w:r>
      <w:r w:rsidR="00C05FA8" w:rsidRPr="004C3F2B">
        <w:rPr>
          <w:rFonts w:cs="Times New Roman"/>
        </w:rPr>
        <w:t>63</w:t>
      </w:r>
      <w:r w:rsidRPr="004C3F2B">
        <w:rPr>
          <w:rFonts w:cs="Times New Roman"/>
        </w:rPr>
        <w:t xml:space="preserve"> iznose </w:t>
      </w:r>
      <w:r w:rsidR="00C05FA8" w:rsidRPr="004C3F2B">
        <w:rPr>
          <w:rFonts w:cs="Times New Roman"/>
        </w:rPr>
        <w:t xml:space="preserve">6.348,80 </w:t>
      </w:r>
      <w:r w:rsidRPr="004C3F2B">
        <w:rPr>
          <w:rFonts w:cs="Times New Roman"/>
        </w:rPr>
        <w:t>eura</w:t>
      </w:r>
      <w:r w:rsidR="00B01B36" w:rsidRPr="004C3F2B">
        <w:rPr>
          <w:rFonts w:cs="Times New Roman"/>
        </w:rPr>
        <w:t xml:space="preserve"> z</w:t>
      </w:r>
      <w:r w:rsidRPr="004C3F2B">
        <w:rPr>
          <w:rFonts w:cs="Times New Roman"/>
        </w:rPr>
        <w:t xml:space="preserve">a projekt   </w:t>
      </w:r>
      <w:r w:rsidR="00C05FA8" w:rsidRPr="004C3F2B">
        <w:rPr>
          <w:rFonts w:cs="Times New Roman"/>
        </w:rPr>
        <w:t>Š(K)OLA 5.0.</w:t>
      </w:r>
      <w:r w:rsidR="00756721" w:rsidRPr="004C3F2B">
        <w:rPr>
          <w:rFonts w:cs="Times New Roman"/>
        </w:rPr>
        <w:t xml:space="preserve">, </w:t>
      </w:r>
      <w:r w:rsidRPr="004C3F2B">
        <w:rPr>
          <w:rFonts w:cs="Times New Roman"/>
        </w:rPr>
        <w:t xml:space="preserve">a </w:t>
      </w:r>
      <w:r w:rsidR="00B01B36" w:rsidRPr="004C3F2B">
        <w:rPr>
          <w:rFonts w:cs="Times New Roman"/>
        </w:rPr>
        <w:t xml:space="preserve">za </w:t>
      </w:r>
      <w:r w:rsidRPr="004C3F2B">
        <w:rPr>
          <w:rFonts w:cs="Times New Roman"/>
        </w:rPr>
        <w:t xml:space="preserve">projekt </w:t>
      </w:r>
      <w:proofErr w:type="spellStart"/>
      <w:r w:rsidR="00C05FA8" w:rsidRPr="004C3F2B">
        <w:rPr>
          <w:rFonts w:cs="Times New Roman"/>
        </w:rPr>
        <w:t>AdriACTIVE</w:t>
      </w:r>
      <w:proofErr w:type="spellEnd"/>
      <w:r w:rsidRPr="004C3F2B">
        <w:rPr>
          <w:rFonts w:cs="Times New Roman"/>
        </w:rPr>
        <w:t xml:space="preserve"> </w:t>
      </w:r>
      <w:r w:rsidR="00C05FA8" w:rsidRPr="004C3F2B">
        <w:rPr>
          <w:rFonts w:cs="Times New Roman"/>
        </w:rPr>
        <w:t xml:space="preserve">314.952,00 </w:t>
      </w:r>
      <w:r w:rsidRPr="004C3F2B">
        <w:rPr>
          <w:rFonts w:cs="Times New Roman"/>
        </w:rPr>
        <w:t>eura.</w:t>
      </w:r>
    </w:p>
    <w:p w14:paraId="448B2F31" w14:textId="77777777" w:rsidR="00EB444A" w:rsidRPr="004C3F2B" w:rsidRDefault="00EB444A" w:rsidP="00EC7ECD">
      <w:pPr>
        <w:keepNext/>
        <w:spacing w:line="240" w:lineRule="auto"/>
        <w:jc w:val="center"/>
        <w:rPr>
          <w:rFonts w:cs="Times New Roman"/>
        </w:rPr>
      </w:pPr>
    </w:p>
    <w:sectPr w:rsidR="00EB444A" w:rsidRPr="004C3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46"/>
    <w:rsid w:val="0000129E"/>
    <w:rsid w:val="00007945"/>
    <w:rsid w:val="00025C5C"/>
    <w:rsid w:val="00030CDE"/>
    <w:rsid w:val="000520E0"/>
    <w:rsid w:val="00063A74"/>
    <w:rsid w:val="000A0CD2"/>
    <w:rsid w:val="000A45EB"/>
    <w:rsid w:val="000C738D"/>
    <w:rsid w:val="000E0267"/>
    <w:rsid w:val="00135AE1"/>
    <w:rsid w:val="0015061A"/>
    <w:rsid w:val="0015584F"/>
    <w:rsid w:val="00162ACE"/>
    <w:rsid w:val="001633F1"/>
    <w:rsid w:val="001809AA"/>
    <w:rsid w:val="001865F3"/>
    <w:rsid w:val="001963A2"/>
    <w:rsid w:val="001A53F3"/>
    <w:rsid w:val="001B73FB"/>
    <w:rsid w:val="001B7F3F"/>
    <w:rsid w:val="001E3822"/>
    <w:rsid w:val="001E4D66"/>
    <w:rsid w:val="001F24E6"/>
    <w:rsid w:val="00211386"/>
    <w:rsid w:val="002423B2"/>
    <w:rsid w:val="0028079B"/>
    <w:rsid w:val="0028621B"/>
    <w:rsid w:val="00295D80"/>
    <w:rsid w:val="00297437"/>
    <w:rsid w:val="002A797E"/>
    <w:rsid w:val="002C38A6"/>
    <w:rsid w:val="002E3B8B"/>
    <w:rsid w:val="002F3457"/>
    <w:rsid w:val="003044E2"/>
    <w:rsid w:val="003125AF"/>
    <w:rsid w:val="00313DFB"/>
    <w:rsid w:val="00314439"/>
    <w:rsid w:val="00314A56"/>
    <w:rsid w:val="00327B02"/>
    <w:rsid w:val="00332C9F"/>
    <w:rsid w:val="0033769B"/>
    <w:rsid w:val="00355DEC"/>
    <w:rsid w:val="00361951"/>
    <w:rsid w:val="00365712"/>
    <w:rsid w:val="003A0666"/>
    <w:rsid w:val="003B07BA"/>
    <w:rsid w:val="003B78C0"/>
    <w:rsid w:val="003C5E11"/>
    <w:rsid w:val="003E47E1"/>
    <w:rsid w:val="00407BCA"/>
    <w:rsid w:val="004200B9"/>
    <w:rsid w:val="00441221"/>
    <w:rsid w:val="00462E3B"/>
    <w:rsid w:val="00475DCF"/>
    <w:rsid w:val="00476621"/>
    <w:rsid w:val="00482236"/>
    <w:rsid w:val="00494DA9"/>
    <w:rsid w:val="00495549"/>
    <w:rsid w:val="004C3F2B"/>
    <w:rsid w:val="004D4A1E"/>
    <w:rsid w:val="00505669"/>
    <w:rsid w:val="0051022E"/>
    <w:rsid w:val="00572F16"/>
    <w:rsid w:val="005974B9"/>
    <w:rsid w:val="005A7C9B"/>
    <w:rsid w:val="005B5CA3"/>
    <w:rsid w:val="005F06FA"/>
    <w:rsid w:val="00602E01"/>
    <w:rsid w:val="00620E43"/>
    <w:rsid w:val="00654826"/>
    <w:rsid w:val="00674BBA"/>
    <w:rsid w:val="006959AF"/>
    <w:rsid w:val="006A21E0"/>
    <w:rsid w:val="006A3B83"/>
    <w:rsid w:val="006D580F"/>
    <w:rsid w:val="006E43C4"/>
    <w:rsid w:val="006F3697"/>
    <w:rsid w:val="006F4B58"/>
    <w:rsid w:val="00701B61"/>
    <w:rsid w:val="0073515A"/>
    <w:rsid w:val="00756721"/>
    <w:rsid w:val="007579CA"/>
    <w:rsid w:val="007A327E"/>
    <w:rsid w:val="007A34D4"/>
    <w:rsid w:val="007D772C"/>
    <w:rsid w:val="00815220"/>
    <w:rsid w:val="00860AD0"/>
    <w:rsid w:val="008754D2"/>
    <w:rsid w:val="008A05FA"/>
    <w:rsid w:val="008B7775"/>
    <w:rsid w:val="008C098F"/>
    <w:rsid w:val="00906EFA"/>
    <w:rsid w:val="009070B9"/>
    <w:rsid w:val="00911B76"/>
    <w:rsid w:val="009771AA"/>
    <w:rsid w:val="00997B27"/>
    <w:rsid w:val="009A02E0"/>
    <w:rsid w:val="009A14A8"/>
    <w:rsid w:val="009A6B8E"/>
    <w:rsid w:val="009B70FA"/>
    <w:rsid w:val="009C57A0"/>
    <w:rsid w:val="009F6C2C"/>
    <w:rsid w:val="00A1393D"/>
    <w:rsid w:val="00A32B80"/>
    <w:rsid w:val="00A538AE"/>
    <w:rsid w:val="00A57A1B"/>
    <w:rsid w:val="00A6057A"/>
    <w:rsid w:val="00A95F8A"/>
    <w:rsid w:val="00AB28A5"/>
    <w:rsid w:val="00AB415F"/>
    <w:rsid w:val="00AC4C14"/>
    <w:rsid w:val="00AD4EDC"/>
    <w:rsid w:val="00AF1591"/>
    <w:rsid w:val="00AF4F47"/>
    <w:rsid w:val="00B01B36"/>
    <w:rsid w:val="00B173E9"/>
    <w:rsid w:val="00B26C93"/>
    <w:rsid w:val="00B325A3"/>
    <w:rsid w:val="00B35393"/>
    <w:rsid w:val="00B5360A"/>
    <w:rsid w:val="00B741A3"/>
    <w:rsid w:val="00B80622"/>
    <w:rsid w:val="00B81151"/>
    <w:rsid w:val="00B8355D"/>
    <w:rsid w:val="00B97E94"/>
    <w:rsid w:val="00BF62AB"/>
    <w:rsid w:val="00C05FA8"/>
    <w:rsid w:val="00C34FA8"/>
    <w:rsid w:val="00C45648"/>
    <w:rsid w:val="00C8648B"/>
    <w:rsid w:val="00CA18F7"/>
    <w:rsid w:val="00CB6507"/>
    <w:rsid w:val="00CE317D"/>
    <w:rsid w:val="00CF52D5"/>
    <w:rsid w:val="00CF6894"/>
    <w:rsid w:val="00CF6D46"/>
    <w:rsid w:val="00D063A6"/>
    <w:rsid w:val="00D20869"/>
    <w:rsid w:val="00DF19B9"/>
    <w:rsid w:val="00E079DD"/>
    <w:rsid w:val="00E07FF9"/>
    <w:rsid w:val="00E32818"/>
    <w:rsid w:val="00E37B7F"/>
    <w:rsid w:val="00E41B44"/>
    <w:rsid w:val="00E677AC"/>
    <w:rsid w:val="00EB444A"/>
    <w:rsid w:val="00EB65EF"/>
    <w:rsid w:val="00EC7ECD"/>
    <w:rsid w:val="00EE40C6"/>
    <w:rsid w:val="00F16796"/>
    <w:rsid w:val="00F41275"/>
    <w:rsid w:val="00F6213B"/>
    <w:rsid w:val="00FA0B9F"/>
    <w:rsid w:val="00FA5FFA"/>
    <w:rsid w:val="00FE0F0A"/>
    <w:rsid w:val="00FE4704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C2BB"/>
  <w15:docId w15:val="{91603E13-6448-49A6-9EFA-750AD78D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5F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15119-7F77-4800-A76F-5BACC656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6115</Words>
  <Characters>34858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LeeLoo Dallas</dc:creator>
  <cp:lastModifiedBy>Natasa Mikic Kezele</cp:lastModifiedBy>
  <cp:revision>2</cp:revision>
  <cp:lastPrinted>2026-01-26T08:01:00Z</cp:lastPrinted>
  <dcterms:created xsi:type="dcterms:W3CDTF">2026-02-02T11:36:00Z</dcterms:created>
  <dcterms:modified xsi:type="dcterms:W3CDTF">2026-02-02T11:36:00Z</dcterms:modified>
</cp:coreProperties>
</file>